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67456" behindDoc="0" locked="0" layoutInCell="1" allowOverlap="1">
                <wp:simplePos x="0" y="0"/>
                <wp:positionH relativeFrom="column">
                  <wp:posOffset>-1015365</wp:posOffset>
                </wp:positionH>
                <wp:positionV relativeFrom="paragraph">
                  <wp:posOffset>7942580</wp:posOffset>
                </wp:positionV>
                <wp:extent cx="7597775" cy="520700"/>
                <wp:effectExtent l="0" t="0" r="0" b="0"/>
                <wp:wrapNone/>
                <wp:docPr id="15" name="矩形 4"/>
                <wp:cNvGraphicFramePr/>
                <a:graphic xmlns:a="http://schemas.openxmlformats.org/drawingml/2006/main">
                  <a:graphicData uri="http://schemas.microsoft.com/office/word/2010/wordprocessingShape">
                    <wps:wsp>
                      <wps:cNvSpPr/>
                      <wps:spPr>
                        <a:xfrm>
                          <a:off x="0" y="0"/>
                          <a:ext cx="7597775" cy="520700"/>
                        </a:xfrm>
                        <a:prstGeom prst="rect">
                          <a:avLst/>
                        </a:prstGeom>
                        <a:noFill/>
                        <a:ln>
                          <a:noFill/>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 xml:space="preserve"> 二〇二三年</w:t>
                            </w:r>
                            <w:r>
                              <w:rPr>
                                <w:rFonts w:hint="eastAsia" w:ascii="楷体_GB2312" w:hAnsi="楷体_GB2312" w:eastAsia="楷体_GB2312" w:cs="楷体_GB2312"/>
                                <w:color w:val="000000"/>
                                <w:sz w:val="40"/>
                                <w:szCs w:val="40"/>
                                <w:lang w:val="en-US" w:eastAsia="zh-CN"/>
                              </w:rPr>
                              <w:t>十一</w:t>
                            </w:r>
                            <w:r>
                              <w:rPr>
                                <w:rFonts w:hint="eastAsia" w:ascii="楷体_GB2312" w:hAnsi="楷体_GB2312" w:eastAsia="楷体_GB2312" w:cs="楷体_GB2312"/>
                                <w:color w:val="000000"/>
                                <w:sz w:val="40"/>
                                <w:szCs w:val="40"/>
                              </w:rPr>
                              <w:t>月</w:t>
                            </w:r>
                          </w:p>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 月</w:t>
                            </w:r>
                          </w:p>
                        </w:txbxContent>
                      </wps:txbx>
                      <wps:bodyPr vert="horz" anchor="t" anchorCtr="0" upright="1"/>
                    </wps:wsp>
                  </a:graphicData>
                </a:graphic>
              </wp:anchor>
            </w:drawing>
          </mc:Choice>
          <mc:Fallback>
            <w:pict>
              <v:rect id="矩形 4" o:spid="_x0000_s1026" o:spt="1" style="position:absolute;left:0pt;margin-left:-79.95pt;margin-top:625.4pt;height:41pt;width:598.25pt;z-index:251667456;mso-width-relative:page;mso-height-relative:page;" filled="f" stroked="f" coordsize="21600,21600" o:gfxdata="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tiynTeAAAADwEAAA8AAAAAAAAAAQAgAAAAIgAAAGRycy9kb3ducmV2LnhtbFBL&#10;AQIUABQAAAAIAIdO4kDaKsCDtwEAAGcDAAAOAAAAAAAAAAEAIAAAAC0BAABkcnMvZTJvRG9jLnht&#10;bFBLBQYAAAAABgAGAFkBAABWBQAAAAA=&#10;">
                <v:fill on="f" focussize="0,0"/>
                <v:stroke on="f"/>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 xml:space="preserve"> 二〇二三年</w:t>
                      </w:r>
                      <w:r>
                        <w:rPr>
                          <w:rFonts w:hint="eastAsia" w:ascii="楷体_GB2312" w:hAnsi="楷体_GB2312" w:eastAsia="楷体_GB2312" w:cs="楷体_GB2312"/>
                          <w:color w:val="000000"/>
                          <w:sz w:val="40"/>
                          <w:szCs w:val="40"/>
                          <w:lang w:val="en-US" w:eastAsia="zh-CN"/>
                        </w:rPr>
                        <w:t>十一</w:t>
                      </w:r>
                      <w:r>
                        <w:rPr>
                          <w:rFonts w:hint="eastAsia" w:ascii="楷体_GB2312" w:hAnsi="楷体_GB2312" w:eastAsia="楷体_GB2312" w:cs="楷体_GB2312"/>
                          <w:color w:val="000000"/>
                          <w:sz w:val="40"/>
                          <w:szCs w:val="40"/>
                        </w:rPr>
                        <w:t>月</w:t>
                      </w:r>
                    </w:p>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 月</w:t>
                      </w:r>
                    </w:p>
                  </w:txbxContent>
                </v:textbox>
              </v:rect>
            </w:pict>
          </mc:Fallback>
        </mc:AlternateContent>
      </w:r>
      <w:r>
        <w:drawing>
          <wp:anchor distT="0" distB="0" distL="114300" distR="114300" simplePos="0" relativeHeight="251665408" behindDoc="0" locked="0" layoutInCell="1" allowOverlap="1">
            <wp:simplePos x="0" y="0"/>
            <wp:positionH relativeFrom="column">
              <wp:posOffset>-32385</wp:posOffset>
            </wp:positionH>
            <wp:positionV relativeFrom="margin">
              <wp:posOffset>-60325</wp:posOffset>
            </wp:positionV>
            <wp:extent cx="610235" cy="610235"/>
            <wp:effectExtent l="19050" t="0" r="0" b="0"/>
            <wp:wrapNone/>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noChangeArrowheads="1"/>
                    </pic:cNvPicPr>
                  </pic:nvPicPr>
                  <pic:blipFill>
                    <a:blip r:embed="rId9" cstate="print"/>
                    <a:srcRect/>
                    <a:stretch>
                      <a:fillRect/>
                    </a:stretch>
                  </pic:blipFill>
                  <pic:spPr>
                    <a:xfrm>
                      <a:off x="0" y="0"/>
                      <a:ext cx="610235" cy="610235"/>
                    </a:xfrm>
                    <a:prstGeom prst="rect">
                      <a:avLst/>
                    </a:prstGeom>
                    <a:noFill/>
                    <a:ln w="9525">
                      <a:noFill/>
                      <a:miter lim="800000"/>
                      <a:headEnd/>
                      <a:tailEnd/>
                    </a:ln>
                  </pic:spPr>
                </pic:pic>
              </a:graphicData>
            </a:graphic>
          </wp:anchor>
        </w:drawing>
      </w:r>
      <w:r>
        <w:drawing>
          <wp:anchor distT="0" distB="0" distL="114300" distR="114300" simplePos="0" relativeHeight="251660288" behindDoc="0" locked="0" layoutInCell="1" allowOverlap="1">
            <wp:simplePos x="0" y="0"/>
            <wp:positionH relativeFrom="margin">
              <wp:posOffset>-988695</wp:posOffset>
            </wp:positionH>
            <wp:positionV relativeFrom="margin">
              <wp:posOffset>-1304925</wp:posOffset>
            </wp:positionV>
            <wp:extent cx="7844790" cy="11083290"/>
            <wp:effectExtent l="19050" t="0" r="3810" b="0"/>
            <wp:wrapNone/>
            <wp:docPr id="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背景 耗崽"/>
                    <pic:cNvPicPr>
                      <a:picLocks noChangeAspect="1" noChangeArrowheads="1"/>
                    </pic:cNvPicPr>
                  </pic:nvPicPr>
                  <pic:blipFill>
                    <a:blip r:embed="rId10" cstate="print"/>
                    <a:srcRect/>
                    <a:stretch>
                      <a:fillRect/>
                    </a:stretch>
                  </pic:blipFill>
                  <pic:spPr>
                    <a:xfrm>
                      <a:off x="0" y="0"/>
                      <a:ext cx="7844790" cy="11083290"/>
                    </a:xfrm>
                    <a:prstGeom prst="rect">
                      <a:avLst/>
                    </a:prstGeom>
                    <a:noFill/>
                    <a:ln w="9525">
                      <a:noFill/>
                      <a:miter lim="800000"/>
                      <a:headEnd/>
                      <a:tailEnd/>
                    </a:ln>
                  </pic:spPr>
                </pic:pic>
              </a:graphicData>
            </a:graphic>
          </wp:anchor>
        </w:drawing>
      </w:r>
      <w:r>
        <mc:AlternateContent>
          <mc:Choice Requires="wps">
            <w:drawing>
              <wp:anchor distT="0" distB="0" distL="114300" distR="114300" simplePos="0" relativeHeight="251663360"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8" name="文本框 2"/>
                <wp:cNvGraphicFramePr/>
                <a:graphic xmlns:a="http://schemas.openxmlformats.org/drawingml/2006/main">
                  <a:graphicData uri="http://schemas.microsoft.com/office/word/2010/wordprocessingShape">
                    <wps:wsp>
                      <wps:cNvSpPr/>
                      <wps:spPr>
                        <a:xfrm>
                          <a:off x="0" y="0"/>
                          <a:ext cx="5482590" cy="1066800"/>
                        </a:xfrm>
                        <a:prstGeom prst="rect">
                          <a:avLst/>
                        </a:prstGeom>
                        <a:noFill/>
                        <a:ln>
                          <a:noFill/>
                        </a:ln>
                      </wps:spPr>
                      <wps:txbx>
                        <w:txbxContent>
                          <w:p>
                            <w:pPr>
                              <w:spacing w:line="600" w:lineRule="auto"/>
                              <w:jc w:val="left"/>
                              <w:rPr>
                                <w:rFonts w:ascii="楷体_GB2312" w:hAnsi="楷体_GB2312" w:eastAsia="楷体_GB2312" w:cs="楷体_GB2312"/>
                                <w:color w:val="000000"/>
                                <w:sz w:val="40"/>
                                <w:szCs w:val="40"/>
                                <w:highlight w:val="green"/>
                              </w:rPr>
                            </w:pPr>
                            <w:r>
                              <w:rPr>
                                <w:rFonts w:hint="eastAsia" w:ascii="黑体" w:hAnsi="黑体" w:eastAsia="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222006</w:t>
                            </w:r>
                          </w:p>
                          <w:p>
                            <w:pPr>
                              <w:spacing w:line="600" w:lineRule="auto"/>
                              <w:jc w:val="left"/>
                              <w:rPr>
                                <w:rFonts w:hint="default" w:ascii="楷体_GB2312" w:hAnsi="楷体_GB2312" w:eastAsia="楷体_GB2312" w:cs="楷体_GB2312"/>
                                <w:color w:val="000000"/>
                                <w:sz w:val="40"/>
                                <w:szCs w:val="40"/>
                                <w:highlight w:val="red"/>
                                <w:lang w:val="en-US"/>
                              </w:rPr>
                            </w:pPr>
                            <w:r>
                              <w:rPr>
                                <w:rFonts w:hint="eastAsia" w:ascii="黑体" w:hAnsi="黑体" w:eastAsia="黑体"/>
                                <w:color w:val="000000"/>
                                <w:sz w:val="40"/>
                                <w:szCs w:val="40"/>
                              </w:rPr>
                              <w:t>单位名称</w:t>
                            </w:r>
                            <w:r>
                              <w:rPr>
                                <w:rFonts w:hint="eastAsia" w:ascii="楷体_GB2312" w:hAnsi="楷体_GB2312" w:eastAsia="楷体_GB2312" w:cs="楷体_GB2312"/>
                                <w:color w:val="000000"/>
                                <w:sz w:val="40"/>
                                <w:szCs w:val="40"/>
                              </w:rPr>
                              <w:t>：保定市</w:t>
                            </w:r>
                            <w:r>
                              <w:rPr>
                                <w:rFonts w:hint="eastAsia" w:ascii="楷体_GB2312" w:hAnsi="楷体_GB2312" w:eastAsia="楷体_GB2312" w:cs="楷体_GB2312"/>
                                <w:color w:val="000000"/>
                                <w:sz w:val="40"/>
                                <w:szCs w:val="40"/>
                                <w:lang w:val="en-US" w:eastAsia="zh-CN"/>
                              </w:rPr>
                              <w:t>纪委监委易县廉政教育中心</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olor w:val="000000"/>
                                <w:sz w:val="40"/>
                                <w:szCs w:val="40"/>
                              </w:rPr>
                              <w:t>预算代码</w:t>
                            </w:r>
                            <w:r>
                              <w:rPr>
                                <w:rFonts w:hint="eastAsia" w:ascii="楷体_GB2312" w:hAnsi="楷体_GB2312" w:eastAsia="楷体_GB2312" w:cs="楷体_GB2312"/>
                                <w:color w:val="000000"/>
                                <w:sz w:val="40"/>
                                <w:szCs w:val="40"/>
                              </w:rPr>
                              <w:t>：XXX</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olor w:val="000000"/>
                                <w:sz w:val="40"/>
                                <w:szCs w:val="40"/>
                              </w:rPr>
                              <w:t>单位名称</w:t>
                            </w:r>
                            <w:r>
                              <w:rPr>
                                <w:rFonts w:hint="eastAsia" w:ascii="楷体_GB2312" w:hAnsi="楷体_GB2312" w:eastAsia="楷体_GB2312" w:cs="楷体_GB2312"/>
                                <w:color w:val="000000"/>
                                <w:sz w:val="40"/>
                                <w:szCs w:val="40"/>
                              </w:rPr>
                              <w:t>：XXX</w:t>
                            </w:r>
                          </w:p>
                        </w:txbxContent>
                      </wps:txbx>
                      <wps:bodyPr upright="1"/>
                    </wps:wsp>
                  </a:graphicData>
                </a:graphic>
              </wp:anchor>
            </w:drawing>
          </mc:Choice>
          <mc:Fallback>
            <w:pict>
              <v:rect id="文本框 2" o:spid="_x0000_s1026" o:spt="1" style="position:absolute;left:0pt;margin-left:23.2pt;margin-top:504.45pt;height:84pt;width:431.7pt;z-index:251663360;mso-width-relative:page;mso-height-relative:page;" filled="f" stroked="f" coordsize="21600,21600" o:gfxdata="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QpzVdsAAAAM&#10;AQAADwAAAAAAAAABACAAAAAiAAAAZHJzL2Rvd25yZXYueG1sUEsBAhQAFAAAAAgAh07iQByTv6un&#10;AQAARQMAAA4AAAAAAAAAAQAgAAAAKgEAAGRycy9lMm9Eb2MueG1sUEsFBgAAAAAGAAYAWQEAAEMF&#10;AAAAAA==&#10;">
                <v:fill on="f" focussize="0,0"/>
                <v:stroke on="f"/>
                <v:imagedata o:title=""/>
                <o:lock v:ext="edit" aspectratio="f"/>
                <v:textbox>
                  <w:txbxContent>
                    <w:p>
                      <w:pPr>
                        <w:spacing w:line="600" w:lineRule="auto"/>
                        <w:jc w:val="left"/>
                        <w:rPr>
                          <w:rFonts w:ascii="楷体_GB2312" w:hAnsi="楷体_GB2312" w:eastAsia="楷体_GB2312" w:cs="楷体_GB2312"/>
                          <w:color w:val="000000"/>
                          <w:sz w:val="40"/>
                          <w:szCs w:val="40"/>
                          <w:highlight w:val="green"/>
                        </w:rPr>
                      </w:pPr>
                      <w:r>
                        <w:rPr>
                          <w:rFonts w:hint="eastAsia" w:ascii="黑体" w:hAnsi="黑体" w:eastAsia="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222006</w:t>
                      </w:r>
                    </w:p>
                    <w:p>
                      <w:pPr>
                        <w:spacing w:line="600" w:lineRule="auto"/>
                        <w:jc w:val="left"/>
                        <w:rPr>
                          <w:rFonts w:hint="default" w:ascii="楷体_GB2312" w:hAnsi="楷体_GB2312" w:eastAsia="楷体_GB2312" w:cs="楷体_GB2312"/>
                          <w:color w:val="000000"/>
                          <w:sz w:val="40"/>
                          <w:szCs w:val="40"/>
                          <w:highlight w:val="red"/>
                          <w:lang w:val="en-US"/>
                        </w:rPr>
                      </w:pPr>
                      <w:r>
                        <w:rPr>
                          <w:rFonts w:hint="eastAsia" w:ascii="黑体" w:hAnsi="黑体" w:eastAsia="黑体"/>
                          <w:color w:val="000000"/>
                          <w:sz w:val="40"/>
                          <w:szCs w:val="40"/>
                        </w:rPr>
                        <w:t>单位名称</w:t>
                      </w:r>
                      <w:r>
                        <w:rPr>
                          <w:rFonts w:hint="eastAsia" w:ascii="楷体_GB2312" w:hAnsi="楷体_GB2312" w:eastAsia="楷体_GB2312" w:cs="楷体_GB2312"/>
                          <w:color w:val="000000"/>
                          <w:sz w:val="40"/>
                          <w:szCs w:val="40"/>
                        </w:rPr>
                        <w:t>：保定市</w:t>
                      </w:r>
                      <w:r>
                        <w:rPr>
                          <w:rFonts w:hint="eastAsia" w:ascii="楷体_GB2312" w:hAnsi="楷体_GB2312" w:eastAsia="楷体_GB2312" w:cs="楷体_GB2312"/>
                          <w:color w:val="000000"/>
                          <w:sz w:val="40"/>
                          <w:szCs w:val="40"/>
                          <w:lang w:val="en-US" w:eastAsia="zh-CN"/>
                        </w:rPr>
                        <w:t>纪委监委易县廉政教育中心</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olor w:val="000000"/>
                          <w:sz w:val="40"/>
                          <w:szCs w:val="40"/>
                        </w:rPr>
                        <w:t>预算代码</w:t>
                      </w:r>
                      <w:r>
                        <w:rPr>
                          <w:rFonts w:hint="eastAsia" w:ascii="楷体_GB2312" w:hAnsi="楷体_GB2312" w:eastAsia="楷体_GB2312" w:cs="楷体_GB2312"/>
                          <w:color w:val="000000"/>
                          <w:sz w:val="40"/>
                          <w:szCs w:val="40"/>
                        </w:rPr>
                        <w:t>：XXX</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olor w:val="000000"/>
                          <w:sz w:val="40"/>
                          <w:szCs w:val="40"/>
                        </w:rPr>
                        <w:t>单位名称</w:t>
                      </w:r>
                      <w:r>
                        <w:rPr>
                          <w:rFonts w:hint="eastAsia" w:ascii="楷体_GB2312" w:hAnsi="楷体_GB2312" w:eastAsia="楷体_GB2312" w:cs="楷体_GB2312"/>
                          <w:color w:val="000000"/>
                          <w:sz w:val="40"/>
                          <w:szCs w:val="40"/>
                        </w:rPr>
                        <w:t>：XXX</w:t>
                      </w:r>
                    </w:p>
                  </w:txbxContent>
                </v:textbox>
              </v:rect>
            </w:pict>
          </mc:Fallback>
        </mc:AlternateContent>
      </w:r>
      <w:r>
        <mc:AlternateContent>
          <mc:Choice Requires="wpg">
            <w:drawing>
              <wp:anchor distT="0" distB="0" distL="114300" distR="114300" simplePos="0" relativeHeight="251666432" behindDoc="0" locked="0" layoutInCell="1" allowOverlap="1">
                <wp:simplePos x="0" y="0"/>
                <wp:positionH relativeFrom="column">
                  <wp:posOffset>-1054100</wp:posOffset>
                </wp:positionH>
                <wp:positionV relativeFrom="paragraph">
                  <wp:posOffset>2498725</wp:posOffset>
                </wp:positionV>
                <wp:extent cx="7793355" cy="3491865"/>
                <wp:effectExtent l="0" t="0" r="0" b="0"/>
                <wp:wrapNone/>
                <wp:docPr id="14" name="组合 1029"/>
                <wp:cNvGraphicFramePr/>
                <a:graphic xmlns:a="http://schemas.openxmlformats.org/drawingml/2006/main">
                  <a:graphicData uri="http://schemas.microsoft.com/office/word/2010/wordprocessingGroup">
                    <wpg:wgp>
                      <wpg:cNvGrpSpPr/>
                      <wpg:grpSpPr>
                        <a:xfrm>
                          <a:off x="0" y="0"/>
                          <a:ext cx="7793355" cy="3491865"/>
                          <a:chOff x="5240" y="6098"/>
                          <a:chExt cx="12273" cy="5500203"/>
                        </a:xfrm>
                      </wpg:grpSpPr>
                      <wps:wsp>
                        <wps:cNvPr id="12" name="矩形 1030"/>
                        <wps:cNvSpPr/>
                        <wps:spPr>
                          <a:xfrm>
                            <a:off x="15245" y="6099"/>
                            <a:ext cx="2268" cy="5499"/>
                          </a:xfrm>
                          <a:prstGeom prst="rect">
                            <a:avLst/>
                          </a:prstGeom>
                          <a:solidFill>
                            <a:srgbClr val="2E75B5"/>
                          </a:solidFill>
                          <a:ln>
                            <a:noFill/>
                          </a:ln>
                        </wps:spPr>
                        <wps:txbx>
                          <w:txbxContent>
                            <w:p>
                              <w:pPr>
                                <w:jc w:val="center"/>
                              </w:pPr>
                            </w:p>
                          </w:txbxContent>
                        </wps:txbx>
                        <wps:bodyPr upright="1"/>
                      </wps:wsp>
                      <pic:pic xmlns:pic="http://schemas.openxmlformats.org/drawingml/2006/picture">
                        <pic:nvPicPr>
                          <pic:cNvPr id="13" name="图片框 1031"/>
                          <pic:cNvPicPr>
                            <a:picLocks noChangeAspect="1"/>
                          </pic:cNvPicPr>
                        </pic:nvPicPr>
                        <pic:blipFill>
                          <a:blip r:embed="rId11"/>
                          <a:stretch>
                            <a:fillRect/>
                          </a:stretch>
                        </pic:blipFill>
                        <pic:spPr>
                          <a:xfrm>
                            <a:off x="5240" y="6098"/>
                            <a:ext cx="10027" cy="5499"/>
                          </a:xfrm>
                          <a:prstGeom prst="rect">
                            <a:avLst/>
                          </a:prstGeom>
                          <a:noFill/>
                          <a:ln>
                            <a:noFill/>
                          </a:ln>
                        </pic:spPr>
                      </pic:pic>
                    </wpg:wgp>
                  </a:graphicData>
                </a:graphic>
              </wp:anchor>
            </w:drawing>
          </mc:Choice>
          <mc:Fallback>
            <w:pict>
              <v:group id="组合 1029" o:spid="_x0000_s1026" o:spt="203" style="position:absolute;left:0pt;margin-left:-83pt;margin-top:196.75pt;height:274.95pt;width:613.65pt;z-index:251666432;mso-width-relative:page;mso-height-relative:page;" coordorigin="5240,6098" coordsize="12273,5500203"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">
                <o:lock v:ext="edit" aspectratio="f"/>
                <v:rect id="矩形 1030" o:spid="_x0000_s1026" o:spt="1" style="position:absolute;left:15245;top:6099;height:5499;width:2268;" fillcolor="#2E75B5" filled="t" stroked="f" coordsize="21600,21600" o:gfxdata="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Fe8kbsAAADb&#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jc w:val="center"/>
                        </w:pPr>
                      </w:p>
                    </w:txbxContent>
                  </v:textbox>
                </v:rect>
                <v:shape id="图片框 1031" o:spid="_x0000_s1026" o:spt="75" type="#_x0000_t75" style="position:absolute;left:5240;top:6098;height:5499;width:10027;" filled="f" o:preferrelative="t" stroked="f" coordsize="21600,21600" o:gfxdata="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VsnEa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7" name="文本框 33"/>
                <wp:cNvGraphicFramePr/>
                <a:graphic xmlns:a="http://schemas.openxmlformats.org/drawingml/2006/main">
                  <a:graphicData uri="http://schemas.microsoft.com/office/word/2010/wordprocessingShape">
                    <wps:wsp>
                      <wps:cNvSpPr/>
                      <wps:spPr>
                        <a:xfrm>
                          <a:off x="0" y="0"/>
                          <a:ext cx="5494020" cy="570230"/>
                        </a:xfrm>
                        <a:prstGeom prst="rect">
                          <a:avLst/>
                        </a:prstGeom>
                        <a:noFill/>
                        <a:ln>
                          <a:noFill/>
                        </a:ln>
                      </wps:spPr>
                      <wps:txbx>
                        <w:txbxContent>
                          <w:p>
                            <w:pPr>
                              <w:jc w:val="distribute"/>
                              <w:rPr>
                                <w:rFonts w:ascii="思源黑体 CN Heavy" w:hAnsi="思源黑体 CN Heavy" w:eastAsia="思源黑体 CN Heavy"/>
                                <w:color w:val="A5A5A5"/>
                                <w:kern w:val="0"/>
                                <w:sz w:val="40"/>
                                <w:szCs w:val="40"/>
                              </w:rPr>
                            </w:pPr>
                          </w:p>
                        </w:txbxContent>
                      </wps:txbx>
                      <wps:bodyPr upright="1"/>
                    </wps:wsp>
                  </a:graphicData>
                </a:graphic>
              </wp:anchor>
            </w:drawing>
          </mc:Choice>
          <mc:Fallback>
            <w:pict>
              <v:rect id="文本框 33" o:spid="_x0000_s1026" o:spt="1" style="position:absolute;left:0pt;margin-left:-19.95pt;margin-top:126.9pt;height:44.9pt;width:432.6pt;z-index:251662336;mso-width-relative:page;mso-height-relative:page;" filled="f" stroked="f" coordsize="21600,21600" o:gfxdata="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A3WkHbAAAA&#10;CwEAAA8AAAAAAAAAAQAgAAAAIgAAAGRycy9kb3ducmV2LnhtbFBLAQIUABQAAAAIAIdO4kBaQl+D&#10;qAEAAEUDAAAOAAAAAAAAAAEAIAAAACoBAABkcnMvZTJvRG9jLnhtbFBLBQYAAAAABgAGAFkBAABE&#10;BQAAAAA=&#10;">
                <v:fill on="f" focussize="0,0"/>
                <v:stroke on="f"/>
                <v:imagedata o:title=""/>
                <o:lock v:ext="edit" aspectratio="f"/>
                <v:textbox>
                  <w:txbxContent>
                    <w:p>
                      <w:pPr>
                        <w:jc w:val="distribute"/>
                        <w:rPr>
                          <w:rFonts w:ascii="思源黑体 CN Heavy" w:hAnsi="思源黑体 CN Heavy" w:eastAsia="思源黑体 CN Heavy"/>
                          <w:color w:val="A5A5A5"/>
                          <w:kern w:val="0"/>
                          <w:sz w:val="40"/>
                          <w:szCs w:val="40"/>
                        </w:rPr>
                      </w:pPr>
                    </w:p>
                  </w:txbxContent>
                </v:textbox>
              </v:rect>
            </w:pict>
          </mc:Fallback>
        </mc:AlternateContent>
      </w:r>
      <w:r>
        <mc:AlternateContent>
          <mc:Choice Requires="wpg">
            <w:drawing>
              <wp:anchor distT="0" distB="0" distL="114300" distR="114300" simplePos="0" relativeHeight="251664384" behindDoc="0" locked="0" layoutInCell="1" allowOverlap="1">
                <wp:simplePos x="0" y="0"/>
                <wp:positionH relativeFrom="column">
                  <wp:posOffset>-280670</wp:posOffset>
                </wp:positionH>
                <wp:positionV relativeFrom="paragraph">
                  <wp:posOffset>700405</wp:posOffset>
                </wp:positionV>
                <wp:extent cx="5736590" cy="871855"/>
                <wp:effectExtent l="0" t="13335" r="0" b="0"/>
                <wp:wrapNone/>
                <wp:docPr id="11" name="组合 1033"/>
                <wp:cNvGraphicFramePr/>
                <a:graphic xmlns:a="http://schemas.openxmlformats.org/drawingml/2006/main">
                  <a:graphicData uri="http://schemas.microsoft.com/office/word/2010/wordprocessingGroup">
                    <wpg:wgp>
                      <wpg:cNvGrpSpPr/>
                      <wpg:grpSpPr>
                        <a:xfrm>
                          <a:off x="0" y="0"/>
                          <a:ext cx="5736590" cy="871855"/>
                          <a:chOff x="6119" y="3077"/>
                          <a:chExt cx="9034" cy="1373203"/>
                        </a:xfrm>
                      </wpg:grpSpPr>
                      <wps:wsp>
                        <wps:cNvPr id="9" name="矩形 1034"/>
                        <wps:cNvSpPr/>
                        <wps:spPr>
                          <a:xfrm>
                            <a:off x="6119" y="3077"/>
                            <a:ext cx="9034" cy="1187"/>
                          </a:xfrm>
                          <a:prstGeom prst="rect">
                            <a:avLst/>
                          </a:prstGeom>
                          <a:noFill/>
                          <a:ln>
                            <a:noFill/>
                          </a:ln>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lang w:eastAsia="zh-CN"/>
                                </w:rPr>
                                <w:t>单位</w:t>
                              </w:r>
                              <w:r>
                                <w:rPr>
                                  <w:rFonts w:hint="eastAsia" w:ascii="思源黑体 CN Bold" w:hAnsi="思源黑体 CN Bold" w:eastAsia="思源黑体 CN Bold"/>
                                  <w:b/>
                                  <w:bCs/>
                                  <w:color w:val="002060"/>
                                  <w:spacing w:val="60"/>
                                  <w:kern w:val="24"/>
                                  <w:sz w:val="96"/>
                                  <w:szCs w:val="96"/>
                                </w:rPr>
                                <w:t>决算公开文本</w:t>
                              </w:r>
                            </w:p>
                          </w:txbxContent>
                        </wps:txbx>
                        <wps:bodyPr upright="1"/>
                      </wps:wsp>
                      <wps:wsp>
                        <wps:cNvPr id="10" name="直线 1035"/>
                        <wps:cNvCnPr/>
                        <wps:spPr>
                          <a:xfrm>
                            <a:off x="6226" y="4450"/>
                            <a:ext cx="8700" cy="0"/>
                          </a:xfrm>
                          <a:prstGeom prst="line">
                            <a:avLst/>
                          </a:prstGeom>
                          <a:ln w="28575" cap="flat" cmpd="sng">
                            <a:solidFill>
                              <a:srgbClr val="42719B"/>
                            </a:solidFill>
                            <a:prstDash val="sysDot"/>
                            <a:headEnd type="none" w="med" len="med"/>
                            <a:tailEnd type="none" w="med" len="med"/>
                          </a:ln>
                        </wps:spPr>
                        <wps:bodyPr upright="1"/>
                      </wps:wsp>
                    </wpg:wgp>
                  </a:graphicData>
                </a:graphic>
              </wp:anchor>
            </w:drawing>
          </mc:Choice>
          <mc:Fallback>
            <w:pict>
              <v:group id="组合 1033" o:spid="_x0000_s1026" o:spt="203" style="position:absolute;left:0pt;margin-left:-22.1pt;margin-top:55.15pt;height:68.65pt;width:451.7pt;z-index:251664384;mso-width-relative:page;mso-height-relative:page;" coordorigin="6119,3077" coordsize="9034,137320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6/QEq9sAAAAL&#10;AQAADwAAAAAAAAABACAAAAAiAAAAZHJzL2Rvd25yZXYueG1sUEsBAhQAFAAAAAgAh07iQDK9oPTE&#10;AgAAggYAAA4AAAAAAAAAAQAgAAAAKgEAAGRycy9lMm9Eb2MueG1sUEsFBgAAAAAGAAYAWQEAAGAG&#10;AAAAAA==&#10;">
                <o:lock v:ext="edit" aspectratio="f"/>
                <v:rect id="矩形 1034" o:spid="_x0000_s1026" o:spt="1" style="position:absolute;left:6119;top:3077;height:1187;width:9034;" filled="f" stroked="f" coordsize="21600,21600" o:gfxdata="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TiVL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lang w:eastAsia="zh-CN"/>
                          </w:rPr>
                          <w:t>单位</w:t>
                        </w:r>
                        <w:r>
                          <w:rPr>
                            <w:rFonts w:hint="eastAsia" w:ascii="思源黑体 CN Bold" w:hAnsi="思源黑体 CN Bold" w:eastAsia="思源黑体 CN Bold"/>
                            <w:b/>
                            <w:bCs/>
                            <w:color w:val="002060"/>
                            <w:spacing w:val="60"/>
                            <w:kern w:val="24"/>
                            <w:sz w:val="96"/>
                            <w:szCs w:val="96"/>
                          </w:rPr>
                          <w:t>决算公开文本</w:t>
                        </w:r>
                      </w:p>
                    </w:txbxContent>
                  </v:textbox>
                </v:rect>
                <v:line id="直线 1035" o:spid="_x0000_s1026" o:spt="20" style="position:absolute;left:6226;top:4450;height:0;width:8700;" filled="f" stroked="t" coordsize="21600,21600" o:gfxdata="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BRtR74A&#10;AADbAAAADwAAAAAAAAABACAAAAAiAAAAZHJzL2Rvd25yZXYueG1sUEsBAhQAFAAAAAgAh07iQDMv&#10;BZ47AAAAOQAAABAAAAAAAAAAAQAgAAAADQEAAGRycy9zaGFwZXhtbC54bWxQSwUGAAAAAAYABgBb&#10;AQAAtwMAAAAA&#10;">
                  <v:fill on="f" focussize="0,0"/>
                  <v:stroke weight="2.25pt" color="#42719B" joinstyle="round" dashstyle="1 1"/>
                  <v:imagedata o:title=""/>
                  <o:lock v:ext="edit" aspectratio="f"/>
                </v:lin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6" name="文本框 32"/>
                <wp:cNvGraphicFramePr/>
                <a:graphic xmlns:a="http://schemas.openxmlformats.org/drawingml/2006/main">
                  <a:graphicData uri="http://schemas.microsoft.com/office/word/2010/wordprocessingShape">
                    <wps:wsp>
                      <wps:cNvSpPr/>
                      <wps:spPr>
                        <a:xfrm>
                          <a:off x="0" y="0"/>
                          <a:ext cx="2833370" cy="788035"/>
                        </a:xfrm>
                        <a:prstGeom prst="rect">
                          <a:avLst/>
                        </a:prstGeom>
                        <a:noFill/>
                        <a:ln>
                          <a:noFill/>
                        </a:ln>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upright="1"/>
                    </wps:wsp>
                  </a:graphicData>
                </a:graphic>
              </wp:anchor>
            </w:drawing>
          </mc:Choice>
          <mc:Fallback>
            <w:pict>
              <v:rect id="文本框 32" o:spid="_x0000_s1026" o:spt="1" style="position:absolute;left:0pt;margin-left:39.25pt;margin-top:-19.3pt;height:62.05pt;width:223.1pt;z-index:251661312;mso-width-relative:page;mso-height-relative:page;" filled="f" stroked="f" coordsize="21600,21600" o:gfxdata="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eSBDC2wAAAAkB&#10;AAAPAAAAAAAAAAEAIAAAACIAAABkcnMvZG93bnJldi54bWxQSwECFAAUAAAACACHTuJAnFA7vaYB&#10;AABFAwAADgAAAAAAAAABACAAAAAqAQAAZHJzL2Uyb0RvYy54bWxQSwUGAAAAAAYABgBZAQAAQgUA&#10;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rect>
            </w:pict>
          </mc:Fallback>
        </mc:AlternateContent>
      </w:r>
      <w:r>
        <w:rPr>
          <w:rFonts w:hint="eastAsia"/>
        </w:rPr>
        <w:t>1</w:t>
      </w:r>
      <w:r>
        <w:br w:type="page"/>
      </w:r>
    </w:p>
    <w:p>
      <w:pPr>
        <w:rPr>
          <w:rFonts w:ascii="黑体" w:hAnsi="黑体" w:eastAsia="黑体"/>
          <w:b/>
          <w:bCs/>
          <w:sz w:val="72"/>
          <w:szCs w:val="96"/>
        </w:rPr>
      </w:pPr>
    </w:p>
    <w:p>
      <w:pPr>
        <w:rPr>
          <w:rFonts w:ascii="黑体" w:hAnsi="黑体" w:eastAsia="黑体"/>
          <w:b/>
          <w:bCs/>
          <w:sz w:val="72"/>
          <w:szCs w:val="96"/>
        </w:rPr>
      </w:pPr>
    </w:p>
    <w:p>
      <w:pPr>
        <w:rPr>
          <w:rFonts w:ascii="黑体" w:hAnsi="黑体" w:eastAsia="黑体"/>
          <w:b/>
          <w:bCs/>
          <w:sz w:val="72"/>
          <w:szCs w:val="96"/>
        </w:rPr>
      </w:pPr>
      <w:r>
        <w:rPr>
          <w:rFonts w:hint="eastAsia" w:ascii="黑体" w:hAnsi="黑体" w:eastAsia="黑体"/>
          <w:b/>
          <w:bCs/>
          <w:sz w:val="72"/>
          <w:szCs w:val="96"/>
        </w:rPr>
        <w:t>2022年度</w:t>
      </w:r>
      <w:r>
        <w:rPr>
          <w:rFonts w:hint="eastAsia" w:ascii="黑体" w:hAnsi="黑体" w:eastAsia="黑体"/>
          <w:b/>
          <w:bCs/>
          <w:sz w:val="72"/>
          <w:szCs w:val="96"/>
          <w:lang w:eastAsia="zh-CN"/>
        </w:rPr>
        <w:t>单位</w:t>
      </w:r>
      <w:r>
        <w:rPr>
          <w:rFonts w:hint="eastAsia" w:ascii="黑体" w:hAnsi="黑体" w:eastAsia="黑体"/>
          <w:b/>
          <w:bCs/>
          <w:sz w:val="72"/>
          <w:szCs w:val="96"/>
        </w:rPr>
        <w:t>决算公开文本</w:t>
      </w:r>
    </w:p>
    <w:p>
      <w:pPr>
        <w:spacing w:line="360" w:lineRule="auto"/>
        <w:jc w:val="center"/>
        <w:rPr>
          <w:rFonts w:ascii="黑体" w:hAnsi="黑体" w:eastAsia="黑体"/>
          <w:sz w:val="56"/>
          <w:szCs w:val="72"/>
        </w:rPr>
      </w:pPr>
    </w:p>
    <w:p>
      <w:pPr>
        <w:spacing w:line="600" w:lineRule="auto"/>
        <w:jc w:val="center"/>
        <w:rPr>
          <w:rFonts w:ascii="黑体" w:hAnsi="黑体" w:eastAsia="黑体"/>
          <w:sz w:val="56"/>
          <w:szCs w:val="72"/>
        </w:rPr>
      </w:pPr>
    </w:p>
    <w:p>
      <w:pPr>
        <w:spacing w:line="600" w:lineRule="auto"/>
        <w:jc w:val="center"/>
        <w:rPr>
          <w:rFonts w:ascii="黑体" w:hAnsi="黑体" w:eastAsia="黑体"/>
          <w:sz w:val="56"/>
          <w:szCs w:val="72"/>
        </w:rPr>
      </w:pPr>
    </w:p>
    <w:p>
      <w:pPr>
        <w:spacing w:line="600" w:lineRule="auto"/>
        <w:jc w:val="center"/>
        <w:rPr>
          <w:rFonts w:ascii="黑体" w:hAnsi="黑体" w:eastAsia="黑体"/>
          <w:sz w:val="56"/>
          <w:szCs w:val="72"/>
        </w:rPr>
      </w:pPr>
    </w:p>
    <w:p>
      <w:pPr>
        <w:spacing w:line="600" w:lineRule="auto"/>
        <w:jc w:val="center"/>
        <w:rPr>
          <w:rFonts w:ascii="黑体" w:hAnsi="黑体" w:eastAsia="黑体"/>
          <w:sz w:val="56"/>
          <w:szCs w:val="72"/>
        </w:rPr>
      </w:pPr>
    </w:p>
    <w:p>
      <w:pPr>
        <w:spacing w:line="480" w:lineRule="auto"/>
        <w:jc w:val="center"/>
        <w:rPr>
          <w:rFonts w:ascii="黑体" w:hAnsi="黑体" w:eastAsia="黑体"/>
          <w:sz w:val="56"/>
          <w:szCs w:val="72"/>
        </w:rPr>
      </w:pPr>
    </w:p>
    <w:p>
      <w:pPr>
        <w:snapToGrid w:val="0"/>
        <w:jc w:val="center"/>
        <w:rPr>
          <w:rFonts w:hint="eastAsia" w:ascii="楷体_GB2312" w:hAnsi="楷体_GB2312" w:eastAsia="楷体_GB2312" w:cs="楷体_GB2312"/>
          <w:color w:val="000000"/>
          <w:kern w:val="0"/>
          <w:sz w:val="44"/>
          <w:szCs w:val="44"/>
          <w:lang w:val="en-US" w:eastAsia="zh-CN"/>
        </w:rPr>
      </w:pPr>
      <w:r>
        <w:rPr>
          <w:rFonts w:hint="eastAsia" w:ascii="楷体_GB2312" w:hAnsi="楷体_GB2312" w:eastAsia="楷体_GB2312" w:cs="楷体_GB2312"/>
          <w:color w:val="000000"/>
          <w:kern w:val="0"/>
          <w:sz w:val="44"/>
          <w:szCs w:val="44"/>
          <w:lang w:val="en-US" w:eastAsia="zh-CN"/>
        </w:rPr>
        <w:t>保定市纪委监委易县廉政教育中心</w:t>
      </w:r>
    </w:p>
    <w:p>
      <w:pPr>
        <w:snapToGrid w:val="0"/>
        <w:jc w:val="center"/>
        <w:rPr>
          <w:rFonts w:ascii="楷体_GB2312" w:hAnsi="楷体_GB2312" w:eastAsia="楷体_GB2312" w:cs="楷体_GB2312"/>
          <w:color w:val="000000"/>
          <w:kern w:val="0"/>
          <w:sz w:val="44"/>
          <w:szCs w:val="44"/>
        </w:rPr>
        <w:sectPr>
          <w:pgSz w:w="11906" w:h="16838"/>
          <w:pgMar w:top="2041" w:right="1531" w:bottom="2041" w:left="1531" w:header="851" w:footer="992" w:gutter="0"/>
          <w:cols w:space="720" w:num="1"/>
          <w:titlePg/>
          <w:docGrid w:type="lines" w:linePitch="312" w:charSpace="0"/>
        </w:sectPr>
      </w:pPr>
      <w:r>
        <w:rPr>
          <w:rFonts w:hint="eastAsia" w:ascii="楷体_GB2312" w:hAnsi="楷体_GB2312" w:eastAsia="楷体_GB2312" w:cs="楷体_GB2312"/>
          <w:color w:val="000000"/>
          <w:kern w:val="0"/>
          <w:sz w:val="44"/>
          <w:szCs w:val="44"/>
        </w:rPr>
        <w:t xml:space="preserve">  二〇二三年</w:t>
      </w:r>
      <w:r>
        <w:rPr>
          <w:rFonts w:hint="eastAsia" w:ascii="楷体_GB2312" w:hAnsi="楷体_GB2312" w:eastAsia="楷体_GB2312" w:cs="楷体_GB2312"/>
          <w:color w:val="000000"/>
          <w:kern w:val="0"/>
          <w:sz w:val="44"/>
          <w:szCs w:val="44"/>
          <w:lang w:val="en-US" w:eastAsia="zh-CN"/>
        </w:rPr>
        <w:t>十一</w:t>
      </w:r>
      <w:r>
        <w:rPr>
          <w:rFonts w:hint="eastAsia" w:ascii="楷体_GB2312" w:hAnsi="楷体_GB2312" w:eastAsia="楷体_GB2312" w:cs="楷体_GB2312"/>
          <w:color w:val="000000"/>
          <w:kern w:val="0"/>
          <w:sz w:val="44"/>
          <w:szCs w:val="44"/>
        </w:rPr>
        <w:t>月</w:t>
      </w:r>
    </w:p>
    <w:p>
      <w:pPr>
        <w:tabs>
          <w:tab w:val="left" w:pos="2728"/>
        </w:tabs>
        <w:jc w:val="both"/>
        <w:rPr>
          <w:rFonts w:ascii="黑体" w:hAnsi="Times New Roman" w:eastAsia="黑体" w:cs="Times New Roman"/>
          <w:sz w:val="48"/>
          <w:szCs w:val="48"/>
        </w:rPr>
      </w:pPr>
      <w:r>
        <w:rPr>
          <w:rFonts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0"/>
            <wp:wrapNone/>
            <wp:docPr id="16"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1"/>
                    <pic:cNvPicPr>
                      <a:picLocks noChangeAspect="1" noChangeArrowheads="1"/>
                    </pic:cNvPicPr>
                  </pic:nvPicPr>
                  <pic:blipFill>
                    <a:blip r:embed="rId12" cstate="print"/>
                    <a:srcRect/>
                    <a:stretch>
                      <a:fillRect/>
                    </a:stretch>
                  </pic:blipFill>
                  <pic:spPr>
                    <a:xfrm>
                      <a:off x="0" y="0"/>
                      <a:ext cx="639445" cy="639445"/>
                    </a:xfrm>
                    <a:prstGeom prst="rect">
                      <a:avLst/>
                    </a:prstGeom>
                    <a:noFill/>
                    <a:ln w="9525">
                      <a:noFill/>
                      <a:miter lim="800000"/>
                      <a:headEnd/>
                      <a:tailEnd/>
                    </a:ln>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720" w:num="1"/>
          <w:titlePg/>
          <w:docGrid w:type="lines" w:linePitch="312" w:charSpace="0"/>
        </w:sect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r>
        <w:rPr>
          <w:sz w:val="32"/>
        </w:rPr>
        <w:drawing>
          <wp:anchor distT="0" distB="0" distL="114300" distR="114300" simplePos="0" relativeHeight="251669504" behindDoc="0" locked="0" layoutInCell="1" allowOverlap="1">
            <wp:simplePos x="0" y="0"/>
            <wp:positionH relativeFrom="column">
              <wp:posOffset>688340</wp:posOffset>
            </wp:positionH>
            <wp:positionV relativeFrom="margin">
              <wp:posOffset>1774190</wp:posOffset>
            </wp:positionV>
            <wp:extent cx="739775" cy="739775"/>
            <wp:effectExtent l="19050" t="0" r="3175" b="0"/>
            <wp:wrapNone/>
            <wp:docPr id="1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7"/>
                    <pic:cNvPicPr>
                      <a:picLocks noChangeAspect="1" noChangeArrowheads="1"/>
                    </pic:cNvPicPr>
                  </pic:nvPicPr>
                  <pic:blipFill>
                    <a:blip r:embed="rId13" cstate="print"/>
                    <a:srcRect/>
                    <a:stretch>
                      <a:fillRect/>
                    </a:stretch>
                  </pic:blipFill>
                  <pic:spPr>
                    <a:xfrm>
                      <a:off x="0" y="0"/>
                      <a:ext cx="739775" cy="739775"/>
                    </a:xfrm>
                    <a:prstGeom prst="rect">
                      <a:avLst/>
                    </a:prstGeom>
                    <a:noFill/>
                    <a:ln w="9525">
                      <a:noFill/>
                      <a:miter lim="800000"/>
                      <a:headEnd/>
                      <a:tailEnd/>
                    </a:ln>
                  </pic:spPr>
                </pic:pic>
              </a:graphicData>
            </a:graphic>
          </wp:anchor>
        </w:drawing>
      </w:r>
    </w:p>
    <w:p>
      <w:pPr>
        <w:widowControl/>
        <w:jc w:val="center"/>
        <w:rPr>
          <w:rFonts w:ascii="黑体" w:hAnsi="黑体" w:eastAsia="黑体"/>
          <w:color w:val="000000"/>
          <w:sz w:val="44"/>
          <w:szCs w:val="44"/>
        </w:rPr>
      </w:pPr>
      <w:r>
        <w:rPr>
          <w:rFonts w:hint="eastAsia" w:ascii="黑体" w:hAnsi="黑体" w:eastAsia="黑体"/>
          <w:color w:val="000000"/>
          <w:sz w:val="44"/>
          <w:szCs w:val="44"/>
        </w:rPr>
        <w:t xml:space="preserve"> 第一部分  </w:t>
      </w:r>
      <w:r>
        <w:rPr>
          <w:rFonts w:hint="eastAsia" w:ascii="黑体" w:hAnsi="黑体" w:eastAsia="黑体"/>
          <w:color w:val="000000"/>
          <w:sz w:val="44"/>
          <w:szCs w:val="44"/>
          <w:lang w:val="en-US" w:eastAsia="zh-CN"/>
        </w:rPr>
        <w:t>单位</w:t>
      </w:r>
      <w:r>
        <w:rPr>
          <w:rFonts w:hint="eastAsia" w:ascii="黑体" w:hAnsi="黑体" w:eastAsia="黑体"/>
          <w:color w:val="000000"/>
          <w:sz w:val="44"/>
          <w:szCs w:val="44"/>
        </w:rPr>
        <w:t>概况</w:t>
      </w:r>
    </w:p>
    <w:p>
      <w:pPr>
        <w:widowControl/>
        <w:spacing w:line="580" w:lineRule="exact"/>
        <w:ind w:firstLine="640" w:firstLineChars="200"/>
        <w:rPr>
          <w:rFonts w:eastAsia="黑体"/>
          <w:sz w:val="32"/>
          <w:szCs w:val="32"/>
        </w:rPr>
      </w:pPr>
    </w:p>
    <w:p>
      <w:pPr>
        <w:rPr>
          <w:rFonts w:ascii="黑体" w:eastAsia="黑体"/>
          <w:kern w:val="0"/>
          <w:sz w:val="32"/>
          <w:szCs w:val="32"/>
        </w:rPr>
      </w:pPr>
      <w:r>
        <w:rPr>
          <w:rFonts w:hint="eastAsia" w:ascii="黑体" w:eastAsia="黑体"/>
          <w:kern w:val="0"/>
          <w:sz w:val="32"/>
          <w:szCs w:val="32"/>
        </w:rPr>
        <w:br w:type="page"/>
      </w:r>
    </w:p>
    <w:p>
      <w:pPr>
        <w:pStyle w:val="2"/>
        <w:spacing w:before="0" w:after="0" w:line="580" w:lineRule="exact"/>
        <w:ind w:firstLine="640" w:firstLineChars="200"/>
        <w:jc w:val="left"/>
        <w:rPr>
          <w:rFonts w:ascii="黑体" w:eastAsia="黑体"/>
          <w:b w:val="0"/>
          <w:bCs w:val="0"/>
          <w:kern w:val="0"/>
          <w:sz w:val="32"/>
          <w:szCs w:val="32"/>
        </w:rPr>
      </w:pPr>
      <w:r>
        <w:rPr>
          <w:rFonts w:hint="eastAsia" w:ascii="黑体" w:eastAsia="黑体"/>
          <w:b w:val="0"/>
          <w:bCs w:val="0"/>
          <w:kern w:val="0"/>
          <w:sz w:val="32"/>
          <w:szCs w:val="32"/>
        </w:rPr>
        <w:t>一、</w:t>
      </w:r>
      <w:r>
        <w:rPr>
          <w:rFonts w:hint="eastAsia" w:ascii="黑体" w:eastAsia="黑体"/>
          <w:b w:val="0"/>
          <w:bCs w:val="0"/>
          <w:kern w:val="0"/>
          <w:sz w:val="32"/>
          <w:szCs w:val="32"/>
          <w:lang w:val="en-US" w:eastAsia="zh-CN"/>
        </w:rPr>
        <w:t>单位</w:t>
      </w:r>
      <w:r>
        <w:rPr>
          <w:rFonts w:hint="eastAsia" w:ascii="黑体" w:eastAsia="黑体"/>
          <w:b w:val="0"/>
          <w:bCs w:val="0"/>
          <w:kern w:val="0"/>
          <w:sz w:val="32"/>
          <w:szCs w:val="32"/>
        </w:rPr>
        <w:t>职责</w:t>
      </w:r>
    </w:p>
    <w:p>
      <w:pPr>
        <w:spacing w:line="580" w:lineRule="exact"/>
        <w:ind w:firstLine="640" w:firstLineChars="200"/>
        <w:rPr>
          <w:rFonts w:hint="eastAsia" w:ascii="仿宋_GB2312" w:eastAsia="仿宋_GB2312" w:cs="ArialUnicodeMS"/>
          <w:kern w:val="0"/>
          <w:sz w:val="32"/>
          <w:szCs w:val="32"/>
        </w:rPr>
      </w:pPr>
      <w:r>
        <w:rPr>
          <w:rFonts w:hint="eastAsia" w:ascii="仿宋_GB2312" w:eastAsia="仿宋_GB2312" w:cs="ArialUnicodeMS"/>
          <w:kern w:val="0"/>
          <w:sz w:val="32"/>
          <w:szCs w:val="32"/>
        </w:rPr>
        <w:t>（一）负责开展党员干部警示教育工作。</w:t>
      </w:r>
    </w:p>
    <w:p>
      <w:pPr>
        <w:spacing w:line="580" w:lineRule="exact"/>
        <w:ind w:firstLine="640" w:firstLineChars="200"/>
        <w:rPr>
          <w:rFonts w:ascii="仿宋_GB2312" w:eastAsia="仿宋_GB2312" w:cs="ArialUnicodeMS"/>
          <w:kern w:val="0"/>
          <w:sz w:val="32"/>
          <w:szCs w:val="32"/>
          <w:highlight w:val="yellow"/>
        </w:rPr>
      </w:pPr>
      <w:r>
        <w:rPr>
          <w:rFonts w:hint="eastAsia" w:ascii="仿宋_GB2312" w:eastAsia="仿宋_GB2312" w:cs="ArialUnicodeMS"/>
          <w:kern w:val="0"/>
          <w:sz w:val="32"/>
          <w:szCs w:val="32"/>
        </w:rPr>
        <w:t>（二）负责留置场所的维护和留置人员的看护工作。</w:t>
      </w:r>
    </w:p>
    <w:p>
      <w:pPr>
        <w:keepNext/>
        <w:keepLines/>
        <w:spacing w:line="580" w:lineRule="exact"/>
        <w:ind w:firstLine="640" w:firstLineChars="200"/>
        <w:jc w:val="left"/>
        <w:outlineLvl w:val="0"/>
        <w:rPr>
          <w:rFonts w:ascii="黑体" w:eastAsia="黑体"/>
          <w:kern w:val="0"/>
          <w:sz w:val="32"/>
          <w:szCs w:val="32"/>
        </w:rPr>
      </w:pPr>
      <w:r>
        <w:rPr>
          <w:rFonts w:hint="eastAsia" w:ascii="黑体" w:eastAsia="黑体"/>
          <w:kern w:val="0"/>
          <w:sz w:val="32"/>
          <w:szCs w:val="32"/>
        </w:rPr>
        <w:t>二、机构设置</w:t>
      </w:r>
    </w:p>
    <w:p>
      <w:pPr>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从决算编报单位构成看，纳入2022年度本</w:t>
      </w:r>
      <w:r>
        <w:rPr>
          <w:rFonts w:hint="eastAsia" w:ascii="仿宋_GB2312" w:eastAsia="仿宋_GB2312" w:cs="ArialUnicodeMS"/>
          <w:kern w:val="0"/>
          <w:sz w:val="32"/>
          <w:szCs w:val="32"/>
          <w:lang w:val="en-US" w:eastAsia="zh-CN"/>
        </w:rPr>
        <w:t>单位</w:t>
      </w:r>
      <w:r>
        <w:rPr>
          <w:rFonts w:hint="eastAsia" w:ascii="仿宋_GB2312" w:eastAsia="仿宋_GB2312" w:cs="ArialUnicodeMS"/>
          <w:kern w:val="0"/>
          <w:sz w:val="32"/>
          <w:szCs w:val="32"/>
        </w:rPr>
        <w:t>决算汇编范围的独立核算单位（以下简称“单位”）共</w:t>
      </w:r>
      <w:r>
        <w:rPr>
          <w:rFonts w:hint="eastAsia" w:ascii="仿宋_GB2312" w:eastAsia="仿宋_GB2312" w:cs="ArialUnicodeMS"/>
          <w:kern w:val="0"/>
          <w:sz w:val="32"/>
          <w:szCs w:val="32"/>
          <w:lang w:val="en-US" w:eastAsia="zh-CN"/>
        </w:rPr>
        <w:t>1</w:t>
      </w:r>
      <w:r>
        <w:rPr>
          <w:rFonts w:hint="eastAsia" w:ascii="仿宋_GB2312"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540"/>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540"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570"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tcPr>
          <w:p>
            <w:pPr>
              <w:spacing w:line="560" w:lineRule="exact"/>
              <w:rPr>
                <w:rFonts w:hint="default" w:ascii="仿宋_GB2312" w:eastAsia="仿宋_GB2312" w:cs="ArialUnicodeMS"/>
                <w:kern w:val="0"/>
                <w:sz w:val="28"/>
                <w:szCs w:val="28"/>
                <w:lang w:val="en-US" w:eastAsia="zh-CN"/>
              </w:rPr>
            </w:pPr>
            <w:r>
              <w:rPr>
                <w:rFonts w:hint="eastAsia" w:ascii="仿宋_GB2312" w:eastAsia="仿宋_GB2312" w:cs="ArialUnicodeMS"/>
                <w:kern w:val="0"/>
                <w:sz w:val="28"/>
                <w:szCs w:val="28"/>
                <w:lang w:val="en-US" w:eastAsia="zh-CN"/>
              </w:rPr>
              <w:t>保定市易县廉政教育中心</w:t>
            </w:r>
          </w:p>
        </w:tc>
        <w:tc>
          <w:tcPr>
            <w:tcW w:w="2540"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2570"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eastAsia="仿宋_GB2312" w:cs="ArialUnicodeMS"/>
                <w:kern w:val="0"/>
                <w:sz w:val="28"/>
                <w:szCs w:val="28"/>
              </w:rPr>
            </w:pPr>
            <w:r>
              <w:rPr>
                <w:rFonts w:hint="eastAsia" w:ascii="仿宋_GB2312"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eastAsia="仿宋_GB2312" w:cs="ArialUnicodeMS"/>
                <w:kern w:val="0"/>
                <w:sz w:val="28"/>
                <w:szCs w:val="28"/>
              </w:rPr>
            </w:pPr>
            <w:r>
              <w:rPr>
                <w:rFonts w:hint="eastAsia" w:ascii="仿宋_GB2312"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880" w:firstLineChars="200"/>
        <w:rPr>
          <w:rFonts w:ascii="黑体" w:hAnsi="黑体" w:eastAsia="黑体"/>
          <w:color w:val="000000"/>
          <w:sz w:val="44"/>
          <w:szCs w:val="44"/>
        </w:rPr>
      </w:pPr>
    </w:p>
    <w:p>
      <w:pPr>
        <w:widowControl/>
        <w:spacing w:after="160" w:line="580" w:lineRule="exact"/>
        <w:ind w:firstLine="880" w:firstLineChars="200"/>
        <w:rPr>
          <w:rFonts w:ascii="黑体" w:hAnsi="黑体" w:eastAsia="黑体"/>
          <w:color w:val="000000"/>
          <w:sz w:val="44"/>
          <w:szCs w:val="44"/>
        </w:rPr>
      </w:pPr>
    </w:p>
    <w:p>
      <w:pPr>
        <w:widowControl/>
        <w:spacing w:after="160" w:line="580" w:lineRule="exact"/>
        <w:ind w:firstLine="880" w:firstLineChars="200"/>
        <w:rPr>
          <w:rFonts w:ascii="黑体" w:hAnsi="黑体" w:eastAsia="黑体"/>
          <w:color w:val="000000"/>
          <w:sz w:val="44"/>
          <w:szCs w:val="44"/>
        </w:rPr>
      </w:pPr>
    </w:p>
    <w:p>
      <w:pPr>
        <w:widowControl/>
        <w:spacing w:after="160" w:line="580" w:lineRule="exact"/>
        <w:ind w:firstLine="880" w:firstLineChars="200"/>
        <w:rPr>
          <w:rFonts w:ascii="黑体" w:hAnsi="黑体" w:eastAsia="黑体"/>
          <w:color w:val="000000"/>
          <w:sz w:val="44"/>
          <w:szCs w:val="44"/>
        </w:rPr>
      </w:pPr>
    </w:p>
    <w:p>
      <w:pPr>
        <w:widowControl/>
        <w:spacing w:after="160" w:line="580" w:lineRule="exact"/>
        <w:ind w:firstLine="880" w:firstLineChars="200"/>
        <w:rPr>
          <w:rFonts w:ascii="黑体" w:hAnsi="黑体" w:eastAsia="黑体"/>
          <w:color w:val="000000"/>
          <w:sz w:val="44"/>
          <w:szCs w:val="44"/>
        </w:rPr>
      </w:pPr>
    </w:p>
    <w:p>
      <w:pPr>
        <w:widowControl/>
        <w:spacing w:after="160" w:line="580" w:lineRule="exact"/>
        <w:ind w:firstLine="880" w:firstLineChars="200"/>
        <w:rPr>
          <w:rFonts w:ascii="黑体" w:hAnsi="黑体" w:eastAsia="黑体"/>
          <w:color w:val="000000"/>
          <w:sz w:val="44"/>
          <w:szCs w:val="44"/>
        </w:rPr>
      </w:pPr>
    </w:p>
    <w:p>
      <w:pPr>
        <w:widowControl/>
        <w:spacing w:after="160" w:line="580" w:lineRule="exact"/>
        <w:ind w:firstLine="880" w:firstLineChars="200"/>
        <w:rPr>
          <w:rFonts w:ascii="黑体" w:hAnsi="黑体" w:eastAsia="黑体"/>
          <w:color w:val="000000"/>
          <w:sz w:val="44"/>
          <w:szCs w:val="44"/>
        </w:rPr>
      </w:pPr>
    </w:p>
    <w:p>
      <w:pPr>
        <w:widowControl/>
        <w:spacing w:after="160" w:line="580" w:lineRule="exact"/>
        <w:ind w:firstLine="880" w:firstLineChars="200"/>
        <w:rPr>
          <w:rFonts w:ascii="黑体" w:hAnsi="黑体" w:eastAsia="黑体"/>
          <w:color w:val="000000"/>
          <w:sz w:val="44"/>
          <w:szCs w:val="44"/>
        </w:rPr>
      </w:pPr>
    </w:p>
    <w:p>
      <w:pPr>
        <w:widowControl/>
        <w:spacing w:after="160" w:line="580" w:lineRule="exact"/>
        <w:ind w:firstLine="880" w:firstLineChars="200"/>
        <w:rPr>
          <w:rFonts w:hint="eastAsia" w:ascii="黑体" w:hAnsi="黑体" w:eastAsia="黑体"/>
          <w:color w:val="000000"/>
          <w:sz w:val="44"/>
          <w:szCs w:val="44"/>
        </w:rPr>
      </w:pPr>
      <w:r>
        <w:rPr>
          <w:rFonts w:hint="eastAsia" w:ascii="黑体" w:hAnsi="黑体" w:eastAsia="黑体"/>
          <w:color w:val="000000"/>
          <w:sz w:val="44"/>
          <w:szCs w:val="44"/>
        </w:rPr>
        <w:t xml:space="preserve">    </w:t>
      </w:r>
    </w:p>
    <w:p>
      <w:pPr>
        <w:widowControl/>
        <w:spacing w:after="160" w:line="580" w:lineRule="exact"/>
        <w:ind w:firstLine="880" w:firstLineChars="200"/>
        <w:rPr>
          <w:rFonts w:hint="eastAsia" w:ascii="黑体" w:hAnsi="黑体" w:eastAsia="黑体"/>
          <w:color w:val="000000"/>
          <w:sz w:val="44"/>
          <w:szCs w:val="44"/>
        </w:rPr>
      </w:pPr>
    </w:p>
    <w:p>
      <w:pPr>
        <w:widowControl/>
        <w:spacing w:after="160" w:line="580" w:lineRule="exact"/>
        <w:ind w:firstLine="880" w:firstLineChars="200"/>
        <w:rPr>
          <w:rFonts w:hint="eastAsia" w:ascii="黑体" w:hAnsi="黑体" w:eastAsia="黑体"/>
          <w:color w:val="000000"/>
          <w:sz w:val="44"/>
          <w:szCs w:val="44"/>
        </w:rPr>
      </w:pPr>
    </w:p>
    <w:p>
      <w:pPr>
        <w:widowControl/>
        <w:spacing w:after="160" w:line="580" w:lineRule="exact"/>
        <w:ind w:firstLine="880" w:firstLineChars="200"/>
        <w:rPr>
          <w:rFonts w:hint="eastAsia" w:ascii="黑体" w:hAnsi="黑体" w:eastAsia="黑体"/>
          <w:color w:val="000000"/>
          <w:sz w:val="44"/>
          <w:szCs w:val="44"/>
        </w:rPr>
      </w:pPr>
    </w:p>
    <w:p>
      <w:pPr>
        <w:widowControl/>
        <w:spacing w:after="160" w:line="580" w:lineRule="exact"/>
        <w:ind w:firstLine="640" w:firstLineChars="200"/>
        <w:rPr>
          <w:rFonts w:hint="eastAsia" w:ascii="黑体" w:hAnsi="黑体" w:eastAsia="黑体"/>
          <w:color w:val="000000"/>
          <w:sz w:val="44"/>
          <w:szCs w:val="44"/>
        </w:rPr>
      </w:pPr>
      <w:r>
        <w:rPr>
          <w:rFonts w:ascii="Times New Roman" w:hAnsi="Times New Roman" w:eastAsia="黑体" w:cs="Times New Roman"/>
          <w:sz w:val="32"/>
          <w:szCs w:val="32"/>
        </w:rPr>
        <w:drawing>
          <wp:anchor distT="0" distB="0" distL="114300" distR="114300" simplePos="0" relativeHeight="251673600" behindDoc="0" locked="0" layoutInCell="1" allowOverlap="1">
            <wp:simplePos x="0" y="0"/>
            <wp:positionH relativeFrom="column">
              <wp:posOffset>514350</wp:posOffset>
            </wp:positionH>
            <wp:positionV relativeFrom="margin">
              <wp:posOffset>2119630</wp:posOffset>
            </wp:positionV>
            <wp:extent cx="579120" cy="579120"/>
            <wp:effectExtent l="0" t="0" r="0" b="0"/>
            <wp:wrapNone/>
            <wp:docPr id="18"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0"/>
                    <pic:cNvPicPr>
                      <a:picLocks noChangeAspect="1" noChangeArrowheads="1"/>
                    </pic:cNvPicPr>
                  </pic:nvPicPr>
                  <pic:blipFill>
                    <a:blip r:embed="rId14" cstate="print"/>
                    <a:srcRect/>
                    <a:stretch>
                      <a:fillRect/>
                    </a:stretch>
                  </pic:blipFill>
                  <pic:spPr>
                    <a:xfrm>
                      <a:off x="0" y="0"/>
                      <a:ext cx="579120" cy="579120"/>
                    </a:xfrm>
                    <a:prstGeom prst="rect">
                      <a:avLst/>
                    </a:prstGeom>
                    <a:noFill/>
                    <a:ln w="9525">
                      <a:noFill/>
                      <a:miter lim="800000"/>
                      <a:headEnd/>
                      <a:tailEnd/>
                    </a:ln>
                  </pic:spPr>
                </pic:pic>
              </a:graphicData>
            </a:graphic>
          </wp:anchor>
        </w:drawing>
      </w:r>
    </w:p>
    <w:p>
      <w:pPr>
        <w:widowControl/>
        <w:spacing w:after="160" w:line="580" w:lineRule="exact"/>
        <w:ind w:firstLine="1760" w:firstLineChars="400"/>
        <w:rPr>
          <w:rFonts w:ascii="黑体" w:hAnsi="黑体" w:eastAsia="黑体"/>
          <w:color w:val="000000"/>
          <w:sz w:val="44"/>
          <w:szCs w:val="44"/>
        </w:rPr>
        <w:sectPr>
          <w:headerReference r:id="rId7" w:type="default"/>
          <w:pgSz w:w="11906" w:h="16838"/>
          <w:pgMar w:top="2041" w:right="1531" w:bottom="1774" w:left="1531" w:header="851" w:footer="992" w:gutter="0"/>
          <w:pgNumType w:fmt="numberInDash"/>
          <w:cols w:space="720" w:num="1"/>
          <w:titlePg/>
          <w:docGrid w:type="lines" w:linePitch="312" w:charSpace="0"/>
        </w:sectPr>
      </w:pPr>
      <w:r>
        <w:rPr>
          <w:rFonts w:hint="eastAsia" w:ascii="黑体" w:hAnsi="黑体" w:eastAsia="黑体"/>
          <w:color w:val="000000"/>
          <w:sz w:val="44"/>
          <w:szCs w:val="44"/>
        </w:rPr>
        <w:t>第二部分  2022年度</w:t>
      </w:r>
      <w:r>
        <w:rPr>
          <w:rFonts w:hint="eastAsia" w:ascii="黑体" w:hAnsi="黑体" w:eastAsia="黑体"/>
          <w:color w:val="000000"/>
          <w:sz w:val="44"/>
          <w:szCs w:val="44"/>
          <w:lang w:val="en-US" w:eastAsia="zh-CN"/>
        </w:rPr>
        <w:t>单位</w:t>
      </w:r>
      <w:r>
        <w:rPr>
          <w:rFonts w:hint="eastAsia" w:ascii="黑体" w:hAnsi="黑体" w:eastAsia="黑体"/>
          <w:color w:val="000000"/>
          <w:sz w:val="44"/>
          <w:szCs w:val="44"/>
        </w:rPr>
        <w:t>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cs="宋体"/>
                <w:color w:val="000000"/>
                <w:sz w:val="24"/>
              </w:rPr>
            </w:pPr>
          </w:p>
        </w:tc>
        <w:tc>
          <w:tcPr>
            <w:tcW w:w="396" w:type="dxa"/>
            <w:gridSpan w:val="2"/>
            <w:shd w:val="clear" w:color="auto" w:fill="FFFFFF"/>
            <w:vAlign w:val="center"/>
          </w:tcPr>
          <w:p>
            <w:pPr>
              <w:jc w:val="right"/>
              <w:rPr>
                <w:rFonts w:ascii="宋体" w:hAnsi="宋体" w:cs="宋体"/>
                <w:color w:val="000000"/>
                <w:sz w:val="24"/>
              </w:rPr>
            </w:pPr>
          </w:p>
        </w:tc>
        <w:tc>
          <w:tcPr>
            <w:tcW w:w="1192" w:type="dxa"/>
            <w:shd w:val="clear" w:color="auto" w:fill="FFFFFF"/>
            <w:vAlign w:val="center"/>
          </w:tcPr>
          <w:p>
            <w:pPr>
              <w:jc w:val="right"/>
              <w:rPr>
                <w:rFonts w:ascii="宋体" w:hAnsi="宋体" w:cs="宋体"/>
                <w:color w:val="000000"/>
                <w:sz w:val="24"/>
              </w:rPr>
            </w:pPr>
          </w:p>
        </w:tc>
        <w:tc>
          <w:tcPr>
            <w:tcW w:w="6808" w:type="dxa"/>
            <w:gridSpan w:val="5"/>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0"/>
                <w:szCs w:val="20"/>
              </w:rPr>
              <w:t xml:space="preserve">                       公开01表</w:t>
            </w:r>
          </w:p>
        </w:tc>
        <w:tc>
          <w:tcPr>
            <w:tcW w:w="1891" w:type="dxa"/>
            <w:shd w:val="clear" w:color="auto" w:fill="FFFFFF"/>
            <w:vAlign w:val="center"/>
          </w:tcPr>
          <w:p>
            <w:pPr>
              <w:jc w:val="right"/>
              <w:rPr>
                <w:rFonts w:ascii="宋体" w:hAnsi="宋体" w:cs="宋体"/>
                <w:color w:val="000000"/>
                <w:sz w:val="24"/>
              </w:rPr>
            </w:pPr>
          </w:p>
        </w:tc>
        <w:tc>
          <w:tcPr>
            <w:tcW w:w="240" w:type="dxa"/>
            <w:shd w:val="clear" w:color="auto" w:fill="FFFFFF"/>
            <w:vAlign w:val="center"/>
          </w:tcPr>
          <w:p>
            <w:pPr>
              <w:widowControl/>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222006保定市易县廉政教育中心</w:t>
            </w:r>
          </w:p>
        </w:tc>
        <w:tc>
          <w:tcPr>
            <w:tcW w:w="396" w:type="dxa"/>
            <w:gridSpan w:val="2"/>
            <w:shd w:val="clear" w:color="auto" w:fill="FFFFFF"/>
            <w:vAlign w:val="center"/>
          </w:tcPr>
          <w:p>
            <w:pPr>
              <w:jc w:val="right"/>
              <w:rPr>
                <w:rFonts w:ascii="宋体" w:hAnsi="宋体" w:cs="宋体"/>
                <w:color w:val="000000"/>
                <w:sz w:val="24"/>
              </w:rPr>
            </w:pPr>
          </w:p>
        </w:tc>
        <w:tc>
          <w:tcPr>
            <w:tcW w:w="1192" w:type="dxa"/>
            <w:shd w:val="clear" w:color="auto" w:fill="FFFFFF"/>
            <w:vAlign w:val="center"/>
          </w:tcPr>
          <w:p>
            <w:pPr>
              <w:jc w:val="right"/>
              <w:rPr>
                <w:rFonts w:ascii="宋体" w:hAnsi="宋体" w:cs="宋体"/>
                <w:color w:val="000000"/>
                <w:sz w:val="24"/>
              </w:rPr>
            </w:pPr>
            <w:r>
              <w:rPr>
                <w:rFonts w:hint="eastAsia" w:ascii="宋体" w:hAnsi="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0"/>
                <w:szCs w:val="20"/>
              </w:rPr>
              <w:t xml:space="preserve">                       单位：万元</w:t>
            </w:r>
          </w:p>
        </w:tc>
        <w:tc>
          <w:tcPr>
            <w:tcW w:w="1891" w:type="dxa"/>
            <w:shd w:val="clear" w:color="auto" w:fill="FFFFFF"/>
            <w:vAlign w:val="center"/>
          </w:tcPr>
          <w:p>
            <w:pPr>
              <w:jc w:val="right"/>
              <w:rPr>
                <w:rFonts w:ascii="宋体" w:hAnsi="宋体" w:cs="宋体"/>
                <w:color w:val="000000"/>
                <w:sz w:val="24"/>
              </w:rPr>
            </w:pPr>
          </w:p>
        </w:tc>
        <w:tc>
          <w:tcPr>
            <w:tcW w:w="240" w:type="dxa"/>
            <w:shd w:val="clear" w:color="auto" w:fill="FFFFFF"/>
            <w:vAlign w:val="center"/>
          </w:tcPr>
          <w:p>
            <w:pPr>
              <w:widowControl/>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2163.97</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2083.6</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33.71</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r>
              <w:rPr>
                <w:rFonts w:hint="eastAsia" w:ascii="宋体" w:hAnsi="宋体" w:eastAsia="宋体" w:cs="宋体"/>
                <w:i w:val="0"/>
                <w:iCs w:val="0"/>
                <w:color w:val="000000"/>
                <w:kern w:val="0"/>
                <w:sz w:val="22"/>
                <w:szCs w:val="22"/>
                <w:u w:val="none"/>
                <w:lang w:val="en-US" w:eastAsia="zh-CN" w:bidi="ar"/>
              </w:rPr>
              <w:t>19.21</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r>
              <w:rPr>
                <w:rFonts w:hint="eastAsia" w:ascii="宋体" w:hAnsi="宋体" w:eastAsia="宋体" w:cs="宋体"/>
                <w:i w:val="0"/>
                <w:iCs w:val="0"/>
                <w:color w:val="000000"/>
                <w:kern w:val="0"/>
                <w:sz w:val="22"/>
                <w:szCs w:val="22"/>
                <w:u w:val="none"/>
                <w:lang w:val="en-US" w:eastAsia="zh-CN" w:bidi="ar"/>
              </w:rPr>
              <w:t>27.45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2163.97</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r>
              <w:rPr>
                <w:rFonts w:hint="eastAsia" w:ascii="宋体" w:hAnsi="宋体" w:eastAsia="宋体" w:cs="宋体"/>
                <w:i w:val="0"/>
                <w:iCs w:val="0"/>
                <w:color w:val="000000"/>
                <w:kern w:val="0"/>
                <w:sz w:val="22"/>
                <w:szCs w:val="22"/>
                <w:u w:val="none"/>
                <w:lang w:val="en-US" w:eastAsia="zh-CN" w:bidi="ar"/>
              </w:rPr>
              <w:t>2163.97</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2163.97</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2163.97</w:t>
            </w:r>
          </w:p>
        </w:tc>
      </w:tr>
      <w:tr>
        <w:tblPrEx>
          <w:tblCellMar>
            <w:top w:w="15" w:type="dxa"/>
            <w:left w:w="15" w:type="dxa"/>
            <w:bottom w:w="15" w:type="dxa"/>
            <w:right w:w="15" w:type="dxa"/>
          </w:tblCellMar>
        </w:tblPrEx>
        <w:trPr>
          <w:trHeight w:val="1020" w:hRule="atLeast"/>
        </w:trPr>
        <w:tc>
          <w:tcPr>
            <w:tcW w:w="16797" w:type="dxa"/>
            <w:gridSpan w:val="13"/>
            <w:vAlign w:val="center"/>
          </w:tcPr>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注：1.本表反映</w:t>
            </w:r>
            <w:r>
              <w:rPr>
                <w:rFonts w:hint="eastAsia" w:ascii="宋体" w:hAnsi="宋体" w:cs="宋体"/>
                <w:color w:val="000000"/>
                <w:kern w:val="0"/>
                <w:sz w:val="24"/>
                <w:szCs w:val="24"/>
                <w:lang w:eastAsia="zh-CN"/>
              </w:rPr>
              <w:t>单位</w:t>
            </w:r>
            <w:r>
              <w:rPr>
                <w:rFonts w:hint="eastAsia" w:ascii="宋体" w:hAnsi="宋体" w:cs="宋体"/>
                <w:color w:val="000000"/>
                <w:kern w:val="0"/>
                <w:sz w:val="24"/>
                <w:szCs w:val="24"/>
              </w:rPr>
              <w:t>本年度的总收支和年末结转结余情况。</w:t>
            </w:r>
          </w:p>
          <w:p>
            <w:pPr>
              <w:widowControl/>
              <w:jc w:val="left"/>
              <w:textAlignment w:val="center"/>
              <w:rPr>
                <w:rFonts w:ascii="宋体" w:hAnsi="宋体" w:cs="宋体"/>
                <w:color w:val="000000"/>
                <w:sz w:val="24"/>
              </w:rPr>
            </w:pPr>
            <w:r>
              <w:rPr>
                <w:rFonts w:hint="eastAsia" w:ascii="宋体" w:hAnsi="宋体" w:cs="宋体"/>
                <w:color w:val="000000"/>
                <w:kern w:val="0"/>
                <w:sz w:val="24"/>
                <w:szCs w:val="24"/>
              </w:rPr>
              <w:t xml:space="preserve">    2.本套报表金额单位转换时可能存在尾数误差。</w:t>
            </w:r>
          </w:p>
        </w:tc>
      </w:tr>
    </w:tbl>
    <w:p>
      <w:pPr>
        <w:sectPr>
          <w:pgSz w:w="11906" w:h="16838"/>
          <w:pgMar w:top="567" w:right="567" w:bottom="567" w:left="567" w:header="851" w:footer="992" w:gutter="0"/>
          <w:cols w:space="72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1080"/>
        <w:gridCol w:w="1291"/>
        <w:gridCol w:w="16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CellMar>
            <w:top w:w="15" w:type="dxa"/>
            <w:left w:w="15" w:type="dxa"/>
            <w:bottom w:w="15" w:type="dxa"/>
            <w:right w:w="15" w:type="dxa"/>
          </w:tblCellMar>
        </w:tblPrEx>
        <w:trPr>
          <w:trHeight w:val="90" w:hRule="atLeast"/>
        </w:trPr>
        <w:tc>
          <w:tcPr>
            <w:tcW w:w="555" w:type="dxa"/>
            <w:shd w:val="clear" w:color="auto" w:fill="FFFFFF"/>
            <w:vAlign w:val="center"/>
          </w:tcPr>
          <w:p>
            <w:pPr>
              <w:jc w:val="right"/>
              <w:rPr>
                <w:rFonts w:ascii="宋体" w:hAnsi="宋体" w:cs="宋体"/>
                <w:color w:val="000000"/>
                <w:sz w:val="24"/>
              </w:rPr>
            </w:pPr>
          </w:p>
        </w:tc>
        <w:tc>
          <w:tcPr>
            <w:tcW w:w="1080" w:type="dxa"/>
            <w:shd w:val="clear" w:color="auto" w:fill="FFFFFF"/>
            <w:vAlign w:val="center"/>
          </w:tcPr>
          <w:p>
            <w:pPr>
              <w:jc w:val="right"/>
              <w:rPr>
                <w:rFonts w:ascii="宋体" w:hAnsi="宋体" w:cs="宋体"/>
                <w:color w:val="000000"/>
                <w:sz w:val="24"/>
              </w:rPr>
            </w:pPr>
          </w:p>
        </w:tc>
        <w:tc>
          <w:tcPr>
            <w:tcW w:w="1291" w:type="dxa"/>
            <w:shd w:val="clear" w:color="auto" w:fill="FFFFFF"/>
            <w:vAlign w:val="center"/>
          </w:tcPr>
          <w:p>
            <w:pPr>
              <w:jc w:val="right"/>
              <w:rPr>
                <w:rFonts w:ascii="宋体" w:hAnsi="宋体" w:cs="宋体"/>
                <w:color w:val="000000"/>
                <w:sz w:val="24"/>
              </w:rPr>
            </w:pPr>
          </w:p>
        </w:tc>
        <w:tc>
          <w:tcPr>
            <w:tcW w:w="1635" w:type="dxa"/>
            <w:shd w:val="clear" w:color="auto" w:fill="FFFFFF"/>
            <w:vAlign w:val="center"/>
          </w:tcPr>
          <w:p>
            <w:pPr>
              <w:jc w:val="right"/>
              <w:rPr>
                <w:rFonts w:ascii="宋体" w:hAnsi="宋体" w:cs="宋体"/>
                <w:color w:val="000000"/>
                <w:sz w:val="24"/>
              </w:rPr>
            </w:pPr>
          </w:p>
        </w:tc>
        <w:tc>
          <w:tcPr>
            <w:tcW w:w="1080" w:type="dxa"/>
            <w:shd w:val="clear" w:color="auto" w:fill="FFFFFF"/>
            <w:vAlign w:val="center"/>
          </w:tcPr>
          <w:p>
            <w:pPr>
              <w:jc w:val="right"/>
              <w:rPr>
                <w:rFonts w:ascii="宋体" w:hAnsi="宋体" w:cs="宋体"/>
                <w:color w:val="000000"/>
                <w:sz w:val="24"/>
              </w:rPr>
            </w:pPr>
          </w:p>
        </w:tc>
        <w:tc>
          <w:tcPr>
            <w:tcW w:w="1080" w:type="dxa"/>
            <w:shd w:val="clear" w:color="auto" w:fill="FFFFFF"/>
            <w:vAlign w:val="center"/>
          </w:tcPr>
          <w:p>
            <w:pPr>
              <w:jc w:val="right"/>
              <w:rPr>
                <w:rFonts w:ascii="宋体" w:hAnsi="宋体" w:cs="宋体"/>
                <w:color w:val="000000"/>
                <w:sz w:val="24"/>
              </w:rPr>
            </w:pPr>
          </w:p>
        </w:tc>
        <w:tc>
          <w:tcPr>
            <w:tcW w:w="1080" w:type="dxa"/>
            <w:shd w:val="clear" w:color="auto" w:fill="FFFFFF"/>
            <w:vAlign w:val="center"/>
          </w:tcPr>
          <w:p>
            <w:pPr>
              <w:jc w:val="right"/>
              <w:rPr>
                <w:rFonts w:ascii="宋体" w:hAnsi="宋体" w:cs="宋体"/>
                <w:color w:val="000000"/>
                <w:sz w:val="24"/>
              </w:rPr>
            </w:pPr>
          </w:p>
        </w:tc>
        <w:tc>
          <w:tcPr>
            <w:tcW w:w="1080" w:type="dxa"/>
            <w:shd w:val="clear" w:color="auto" w:fill="FFFFFF"/>
            <w:vAlign w:val="center"/>
          </w:tcPr>
          <w:p>
            <w:pPr>
              <w:jc w:val="right"/>
              <w:rPr>
                <w:rFonts w:ascii="宋体" w:hAnsi="宋体" w:cs="宋体"/>
                <w:color w:val="000000"/>
                <w:sz w:val="24"/>
              </w:rPr>
            </w:pPr>
          </w:p>
        </w:tc>
        <w:tc>
          <w:tcPr>
            <w:tcW w:w="1080" w:type="dxa"/>
            <w:shd w:val="clear" w:color="auto" w:fill="FFFFFF"/>
            <w:vAlign w:val="center"/>
          </w:tcPr>
          <w:p>
            <w:pPr>
              <w:jc w:val="right"/>
              <w:rPr>
                <w:rFonts w:ascii="宋体" w:hAnsi="宋体" w:cs="宋体"/>
                <w:color w:val="000000"/>
                <w:sz w:val="24"/>
              </w:rPr>
            </w:pPr>
          </w:p>
        </w:tc>
        <w:tc>
          <w:tcPr>
            <w:tcW w:w="1078" w:type="dxa"/>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w:t>
            </w:r>
          </w:p>
        </w:tc>
        <w:tc>
          <w:tcPr>
            <w:tcW w:w="4006" w:type="dxa"/>
            <w:gridSpan w:val="3"/>
            <w:shd w:val="clear" w:color="auto" w:fill="FFFFFF"/>
            <w:vAlign w:val="center"/>
          </w:tcPr>
          <w:p>
            <w:pPr>
              <w:jc w:val="both"/>
              <w:rPr>
                <w:rFonts w:ascii="宋体" w:hAnsi="宋体" w:cs="宋体"/>
                <w:color w:val="000000"/>
                <w:sz w:val="24"/>
              </w:rPr>
            </w:pPr>
            <w:r>
              <w:rPr>
                <w:rFonts w:hint="eastAsia" w:ascii="宋体" w:hAnsi="宋体" w:cs="宋体"/>
                <w:color w:val="000000"/>
                <w:sz w:val="20"/>
                <w:szCs w:val="20"/>
                <w:lang w:val="en-US" w:eastAsia="zh-CN"/>
              </w:rPr>
              <w:t>222006保定市易县廉政教育中心</w:t>
            </w:r>
          </w:p>
        </w:tc>
        <w:tc>
          <w:tcPr>
            <w:tcW w:w="1080" w:type="dxa"/>
            <w:shd w:val="clear" w:color="auto" w:fill="FFFFFF"/>
            <w:vAlign w:val="center"/>
          </w:tcPr>
          <w:p>
            <w:pPr>
              <w:jc w:val="right"/>
              <w:rPr>
                <w:rFonts w:ascii="宋体" w:hAnsi="宋体" w:cs="宋体"/>
                <w:color w:val="000000"/>
                <w:sz w:val="24"/>
              </w:rPr>
            </w:pPr>
            <w:r>
              <w:rPr>
                <w:rFonts w:hint="eastAsia" w:ascii="宋体" w:hAnsi="宋体" w:cs="宋体"/>
                <w:color w:val="000000"/>
                <w:sz w:val="24"/>
                <w:szCs w:val="24"/>
              </w:rPr>
              <w:t>2022年度</w:t>
            </w:r>
          </w:p>
        </w:tc>
        <w:tc>
          <w:tcPr>
            <w:tcW w:w="1080" w:type="dxa"/>
            <w:shd w:val="clear" w:color="auto" w:fill="FFFFFF"/>
            <w:vAlign w:val="center"/>
          </w:tcPr>
          <w:p>
            <w:pPr>
              <w:jc w:val="center"/>
              <w:rPr>
                <w:rFonts w:ascii="宋体" w:hAnsi="宋体" w:cs="宋体"/>
                <w:color w:val="000000"/>
                <w:sz w:val="20"/>
                <w:szCs w:val="20"/>
              </w:rPr>
            </w:pPr>
          </w:p>
        </w:tc>
        <w:tc>
          <w:tcPr>
            <w:tcW w:w="1080" w:type="dxa"/>
            <w:shd w:val="clear" w:color="auto" w:fill="FFFFFF"/>
            <w:vAlign w:val="center"/>
          </w:tcPr>
          <w:p>
            <w:pPr>
              <w:jc w:val="right"/>
              <w:rPr>
                <w:rFonts w:ascii="宋体" w:hAnsi="宋体" w:cs="宋体"/>
                <w:color w:val="000000"/>
                <w:sz w:val="24"/>
              </w:rPr>
            </w:pPr>
          </w:p>
        </w:tc>
        <w:tc>
          <w:tcPr>
            <w:tcW w:w="1080" w:type="dxa"/>
            <w:shd w:val="clear" w:color="auto" w:fill="FFFFFF"/>
            <w:vAlign w:val="center"/>
          </w:tcPr>
          <w:p>
            <w:pPr>
              <w:jc w:val="right"/>
              <w:rPr>
                <w:rFonts w:ascii="宋体" w:hAnsi="宋体" w:cs="宋体"/>
                <w:color w:val="000000"/>
                <w:sz w:val="24"/>
              </w:rPr>
            </w:pPr>
          </w:p>
        </w:tc>
        <w:tc>
          <w:tcPr>
            <w:tcW w:w="1080" w:type="dxa"/>
            <w:shd w:val="clear" w:color="auto" w:fill="FFFFFF"/>
            <w:vAlign w:val="center"/>
          </w:tcPr>
          <w:p>
            <w:pPr>
              <w:jc w:val="right"/>
              <w:rPr>
                <w:rFonts w:ascii="宋体" w:hAnsi="宋体" w:cs="宋体"/>
                <w:color w:val="000000"/>
                <w:sz w:val="24"/>
              </w:rPr>
            </w:pPr>
          </w:p>
        </w:tc>
        <w:tc>
          <w:tcPr>
            <w:tcW w:w="1078" w:type="dxa"/>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项    目</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其他收入</w:t>
            </w:r>
          </w:p>
        </w:tc>
      </w:tr>
      <w:tr>
        <w:tblPrEx>
          <w:tblCellMar>
            <w:top w:w="15" w:type="dxa"/>
            <w:left w:w="15" w:type="dxa"/>
            <w:bottom w:w="15" w:type="dxa"/>
            <w:right w:w="15" w:type="dxa"/>
          </w:tblCellMar>
        </w:tblPrEx>
        <w:trPr>
          <w:trHeight w:val="45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科目代码</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科目名称</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栏次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7</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合计</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2163.97</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2163.97</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2083.6</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rPr>
              <w:t>2083.6</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20111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纪检监察事务</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2083.6</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rPr>
              <w:t>2083.6</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2011150</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事业运行</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308.23</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308.23</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2011199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其他纪检监察事务支出</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1775.38</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1775.38</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33.71</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33.71</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33.71</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33.71</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33.71</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33.71</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19.21</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19.21</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21011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19.21</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19.21</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2101102</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事业单位医疗</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10.83</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10.83</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2101103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公务员医疗补助</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8.38</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8.38</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27.45</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27.45</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22102</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住房改革支出</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27.45</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27.45</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27.45</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27.45</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szCs w:val="24"/>
              </w:rPr>
              <w:t>注：本表反映</w:t>
            </w:r>
            <w:r>
              <w:rPr>
                <w:rFonts w:hint="eastAsia" w:ascii="宋体" w:hAnsi="宋体" w:cs="宋体"/>
                <w:color w:val="000000"/>
                <w:kern w:val="0"/>
                <w:sz w:val="24"/>
                <w:szCs w:val="24"/>
                <w:lang w:eastAsia="zh-CN"/>
              </w:rPr>
              <w:t>单位</w:t>
            </w:r>
            <w:r>
              <w:rPr>
                <w:rFonts w:hint="eastAsia" w:ascii="宋体" w:hAnsi="宋体" w:cs="宋体"/>
                <w:color w:val="000000"/>
                <w:kern w:val="0"/>
                <w:sz w:val="24"/>
                <w:szCs w:val="24"/>
              </w:rPr>
              <w:t>本年度取得的各项收入情况。</w:t>
            </w:r>
          </w:p>
        </w:tc>
      </w:tr>
    </w:tbl>
    <w:p>
      <w:pPr>
        <w:sectPr>
          <w:pgSz w:w="11906" w:h="16838"/>
          <w:pgMar w:top="567" w:right="567" w:bottom="567" w:left="567" w:header="851" w:footer="992" w:gutter="0"/>
          <w:cols w:space="72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667"/>
        <w:gridCol w:w="1231"/>
        <w:gridCol w:w="1706"/>
        <w:gridCol w:w="1739"/>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cs="宋体"/>
                <w:color w:val="000000"/>
                <w:sz w:val="24"/>
              </w:rPr>
            </w:pPr>
          </w:p>
        </w:tc>
        <w:tc>
          <w:tcPr>
            <w:tcW w:w="667" w:type="dxa"/>
            <w:shd w:val="clear" w:color="auto" w:fill="FFFFFF"/>
            <w:vAlign w:val="center"/>
          </w:tcPr>
          <w:p>
            <w:pPr>
              <w:jc w:val="right"/>
              <w:rPr>
                <w:rFonts w:ascii="宋体" w:hAnsi="宋体" w:cs="宋体"/>
                <w:color w:val="000000"/>
                <w:sz w:val="24"/>
              </w:rPr>
            </w:pPr>
          </w:p>
        </w:tc>
        <w:tc>
          <w:tcPr>
            <w:tcW w:w="1231" w:type="dxa"/>
            <w:shd w:val="clear" w:color="auto" w:fill="FFFFFF"/>
            <w:vAlign w:val="center"/>
          </w:tcPr>
          <w:p>
            <w:pPr>
              <w:jc w:val="right"/>
              <w:rPr>
                <w:rFonts w:ascii="宋体" w:hAnsi="宋体" w:cs="宋体"/>
                <w:color w:val="000000"/>
                <w:sz w:val="24"/>
              </w:rPr>
            </w:pPr>
          </w:p>
        </w:tc>
        <w:tc>
          <w:tcPr>
            <w:tcW w:w="1706" w:type="dxa"/>
            <w:shd w:val="clear" w:color="auto" w:fill="FFFFFF"/>
            <w:vAlign w:val="center"/>
          </w:tcPr>
          <w:p>
            <w:pPr>
              <w:jc w:val="right"/>
              <w:rPr>
                <w:rFonts w:ascii="宋体" w:hAnsi="宋体" w:cs="宋体"/>
                <w:color w:val="000000"/>
                <w:sz w:val="24"/>
              </w:rPr>
            </w:pPr>
          </w:p>
        </w:tc>
        <w:tc>
          <w:tcPr>
            <w:tcW w:w="1739" w:type="dxa"/>
            <w:shd w:val="clear" w:color="auto" w:fill="FFFFFF"/>
            <w:vAlign w:val="center"/>
          </w:tcPr>
          <w:p>
            <w:pPr>
              <w:jc w:val="right"/>
              <w:rPr>
                <w:rFonts w:ascii="宋体" w:hAnsi="宋体" w:cs="宋体"/>
                <w:color w:val="000000"/>
                <w:sz w:val="24"/>
              </w:rPr>
            </w:pPr>
          </w:p>
        </w:tc>
        <w:tc>
          <w:tcPr>
            <w:tcW w:w="1069" w:type="dxa"/>
            <w:shd w:val="clear" w:color="auto" w:fill="FFFFFF"/>
            <w:vAlign w:val="center"/>
          </w:tcPr>
          <w:p>
            <w:pPr>
              <w:jc w:val="right"/>
              <w:rPr>
                <w:rFonts w:ascii="宋体" w:hAnsi="宋体" w:cs="宋体"/>
                <w:color w:val="000000"/>
                <w:sz w:val="24"/>
              </w:rPr>
            </w:pPr>
          </w:p>
        </w:tc>
        <w:tc>
          <w:tcPr>
            <w:tcW w:w="1069" w:type="dxa"/>
            <w:shd w:val="clear" w:color="auto" w:fill="FFFFFF"/>
            <w:vAlign w:val="center"/>
          </w:tcPr>
          <w:p>
            <w:pPr>
              <w:jc w:val="right"/>
              <w:rPr>
                <w:rFonts w:ascii="宋体" w:hAnsi="宋体" w:cs="宋体"/>
                <w:color w:val="000000"/>
                <w:sz w:val="24"/>
              </w:rPr>
            </w:pPr>
          </w:p>
        </w:tc>
        <w:tc>
          <w:tcPr>
            <w:tcW w:w="1069" w:type="dxa"/>
            <w:shd w:val="clear" w:color="auto" w:fill="FFFFFF"/>
            <w:vAlign w:val="center"/>
          </w:tcPr>
          <w:p>
            <w:pPr>
              <w:jc w:val="right"/>
              <w:rPr>
                <w:rFonts w:ascii="宋体" w:hAnsi="宋体" w:cs="宋体"/>
                <w:color w:val="000000"/>
                <w:sz w:val="24"/>
              </w:rPr>
            </w:pPr>
          </w:p>
        </w:tc>
        <w:tc>
          <w:tcPr>
            <w:tcW w:w="1065" w:type="dxa"/>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w:t>
            </w:r>
          </w:p>
        </w:tc>
        <w:tc>
          <w:tcPr>
            <w:tcW w:w="3604" w:type="dxa"/>
            <w:gridSpan w:val="3"/>
            <w:shd w:val="clear" w:color="auto" w:fill="FFFFFF"/>
            <w:vAlign w:val="center"/>
          </w:tcPr>
          <w:p>
            <w:pPr>
              <w:jc w:val="both"/>
              <w:rPr>
                <w:rFonts w:ascii="宋体" w:hAnsi="宋体" w:cs="宋体"/>
                <w:color w:val="000000"/>
                <w:sz w:val="24"/>
              </w:rPr>
            </w:pPr>
            <w:r>
              <w:rPr>
                <w:rFonts w:hint="eastAsia" w:ascii="宋体" w:hAnsi="宋体" w:cs="宋体"/>
                <w:color w:val="000000"/>
                <w:sz w:val="24"/>
                <w:lang w:val="en-US" w:eastAsia="zh-CN"/>
              </w:rPr>
              <w:t>222006保定市易县廉政教育中心</w:t>
            </w:r>
            <w:r>
              <w:rPr>
                <w:rFonts w:hint="eastAsia" w:ascii="宋体" w:hAnsi="宋体" w:cs="宋体"/>
                <w:color w:val="000000"/>
                <w:sz w:val="24"/>
                <w:szCs w:val="24"/>
              </w:rPr>
              <w:t xml:space="preserve"> </w:t>
            </w:r>
          </w:p>
        </w:tc>
        <w:tc>
          <w:tcPr>
            <w:tcW w:w="1739" w:type="dxa"/>
            <w:shd w:val="clear" w:color="auto" w:fill="FFFFFF"/>
            <w:vAlign w:val="center"/>
          </w:tcPr>
          <w:p>
            <w:pPr>
              <w:rPr>
                <w:rFonts w:ascii="宋体" w:hAnsi="宋体" w:cs="宋体"/>
                <w:color w:val="000000"/>
                <w:sz w:val="24"/>
              </w:rPr>
            </w:pPr>
            <w:r>
              <w:rPr>
                <w:rFonts w:hint="eastAsia" w:ascii="宋体" w:hAnsi="宋体" w:cs="宋体"/>
                <w:color w:val="000000"/>
                <w:sz w:val="24"/>
                <w:szCs w:val="24"/>
              </w:rPr>
              <w:t>2022年度</w:t>
            </w:r>
          </w:p>
        </w:tc>
        <w:tc>
          <w:tcPr>
            <w:tcW w:w="1069" w:type="dxa"/>
            <w:shd w:val="clear" w:color="auto" w:fill="FFFFFF"/>
            <w:vAlign w:val="center"/>
          </w:tcPr>
          <w:p>
            <w:pPr>
              <w:jc w:val="center"/>
              <w:rPr>
                <w:rFonts w:ascii="宋体" w:hAnsi="宋体" w:cs="宋体"/>
                <w:color w:val="000000"/>
                <w:sz w:val="20"/>
                <w:szCs w:val="20"/>
              </w:rPr>
            </w:pPr>
          </w:p>
        </w:tc>
        <w:tc>
          <w:tcPr>
            <w:tcW w:w="1069" w:type="dxa"/>
            <w:shd w:val="clear" w:color="auto" w:fill="FFFFFF"/>
            <w:vAlign w:val="center"/>
          </w:tcPr>
          <w:p>
            <w:pPr>
              <w:jc w:val="right"/>
              <w:rPr>
                <w:rFonts w:ascii="宋体" w:hAnsi="宋体" w:cs="宋体"/>
                <w:color w:val="000000"/>
                <w:sz w:val="24"/>
              </w:rPr>
            </w:pPr>
          </w:p>
        </w:tc>
        <w:tc>
          <w:tcPr>
            <w:tcW w:w="1069" w:type="dxa"/>
            <w:shd w:val="clear" w:color="auto" w:fill="FFFFFF"/>
            <w:vAlign w:val="center"/>
          </w:tcPr>
          <w:p>
            <w:pPr>
              <w:jc w:val="right"/>
              <w:rPr>
                <w:rFonts w:ascii="宋体" w:hAnsi="宋体" w:cs="宋体"/>
                <w:color w:val="000000"/>
                <w:sz w:val="24"/>
              </w:rPr>
            </w:pPr>
          </w:p>
        </w:tc>
        <w:tc>
          <w:tcPr>
            <w:tcW w:w="1065" w:type="dxa"/>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项    目</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对附属单位补助支出</w:t>
            </w:r>
          </w:p>
        </w:tc>
      </w:tr>
      <w:tr>
        <w:tblPrEx>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科目代码</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科目名称</w:t>
            </w: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栏次</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合计</w:t>
            </w:r>
          </w:p>
        </w:tc>
        <w:tc>
          <w:tcPr>
            <w:tcW w:w="1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2163.97</w:t>
            </w:r>
          </w:p>
        </w:tc>
        <w:tc>
          <w:tcPr>
            <w:tcW w:w="17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388.6</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1775.38</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2083.6</w:t>
            </w:r>
          </w:p>
        </w:tc>
        <w:tc>
          <w:tcPr>
            <w:tcW w:w="17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308.23</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1775.38</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20111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纪检监察事务</w:t>
            </w:r>
          </w:p>
        </w:tc>
        <w:tc>
          <w:tcPr>
            <w:tcW w:w="1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2083.6</w:t>
            </w:r>
          </w:p>
        </w:tc>
        <w:tc>
          <w:tcPr>
            <w:tcW w:w="17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308.23</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1775.38</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2011150</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308.23</w:t>
            </w:r>
          </w:p>
        </w:tc>
        <w:tc>
          <w:tcPr>
            <w:tcW w:w="17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308.23</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2011199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其他纪检监察事务支出</w:t>
            </w:r>
          </w:p>
        </w:tc>
        <w:tc>
          <w:tcPr>
            <w:tcW w:w="1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1775.38</w:t>
            </w:r>
          </w:p>
        </w:tc>
        <w:tc>
          <w:tcPr>
            <w:tcW w:w="17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1775.38</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33.71</w:t>
            </w:r>
          </w:p>
        </w:tc>
        <w:tc>
          <w:tcPr>
            <w:tcW w:w="17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33.71</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33.71</w:t>
            </w:r>
          </w:p>
        </w:tc>
        <w:tc>
          <w:tcPr>
            <w:tcW w:w="17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33.71</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33.71</w:t>
            </w:r>
          </w:p>
        </w:tc>
        <w:tc>
          <w:tcPr>
            <w:tcW w:w="17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33.71</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19.21</w:t>
            </w:r>
          </w:p>
        </w:tc>
        <w:tc>
          <w:tcPr>
            <w:tcW w:w="17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19.21</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21011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19.21</w:t>
            </w:r>
          </w:p>
        </w:tc>
        <w:tc>
          <w:tcPr>
            <w:tcW w:w="17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19.21</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2101102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10.83</w:t>
            </w:r>
          </w:p>
        </w:tc>
        <w:tc>
          <w:tcPr>
            <w:tcW w:w="17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10.83</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2101103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8.38</w:t>
            </w:r>
          </w:p>
        </w:tc>
        <w:tc>
          <w:tcPr>
            <w:tcW w:w="17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8.38</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1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27.45</w:t>
            </w:r>
          </w:p>
        </w:tc>
        <w:tc>
          <w:tcPr>
            <w:tcW w:w="17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27.45</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27.45</w:t>
            </w:r>
          </w:p>
        </w:tc>
        <w:tc>
          <w:tcPr>
            <w:tcW w:w="17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27.45</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27.45</w:t>
            </w:r>
          </w:p>
        </w:tc>
        <w:tc>
          <w:tcPr>
            <w:tcW w:w="17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27.45</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szCs w:val="24"/>
              </w:rPr>
              <w:t>注：本表反映</w:t>
            </w:r>
            <w:r>
              <w:rPr>
                <w:rFonts w:hint="eastAsia" w:ascii="宋体" w:hAnsi="宋体" w:cs="宋体"/>
                <w:color w:val="000000"/>
                <w:kern w:val="0"/>
                <w:sz w:val="24"/>
                <w:szCs w:val="24"/>
                <w:lang w:eastAsia="zh-CN"/>
              </w:rPr>
              <w:t>单位</w:t>
            </w:r>
            <w:r>
              <w:rPr>
                <w:rFonts w:hint="eastAsia" w:ascii="宋体" w:hAnsi="宋体" w:cs="宋体"/>
                <w:color w:val="000000"/>
                <w:kern w:val="0"/>
                <w:sz w:val="24"/>
                <w:szCs w:val="24"/>
              </w:rPr>
              <w:t>本年度各项支出情况。</w:t>
            </w:r>
          </w:p>
        </w:tc>
      </w:tr>
    </w:tbl>
    <w:p>
      <w:pPr>
        <w:sectPr>
          <w:pgSz w:w="11906" w:h="16838"/>
          <w:pgMar w:top="567" w:right="567" w:bottom="567" w:left="567" w:header="851" w:footer="992" w:gutter="0"/>
          <w:cols w:space="72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529"/>
        <w:gridCol w:w="324"/>
        <w:gridCol w:w="804"/>
        <w:gridCol w:w="669"/>
        <w:gridCol w:w="1875"/>
        <w:gridCol w:w="468"/>
        <w:gridCol w:w="43"/>
        <w:gridCol w:w="761"/>
        <w:gridCol w:w="1032"/>
        <w:gridCol w:w="383"/>
        <w:gridCol w:w="961"/>
        <w:gridCol w:w="1301"/>
        <w:gridCol w:w="18"/>
        <w:gridCol w:w="3338"/>
      </w:tblGrid>
      <w:tr>
        <w:tblPrEx>
          <w:tblCellMar>
            <w:top w:w="15" w:type="dxa"/>
            <w:left w:w="15" w:type="dxa"/>
            <w:bottom w:w="15" w:type="dxa"/>
            <w:right w:w="15" w:type="dxa"/>
          </w:tblCellMar>
        </w:tblPrEx>
        <w:trPr>
          <w:trHeight w:val="360" w:hRule="atLeast"/>
        </w:trPr>
        <w:tc>
          <w:tcPr>
            <w:tcW w:w="14186" w:type="dxa"/>
            <w:gridSpan w:val="16"/>
            <w:vAlign w:val="center"/>
          </w:tcPr>
          <w:p>
            <w:pPr>
              <w:widowControl/>
              <w:ind w:firstLine="3520" w:firstLineChars="1100"/>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cs="宋体"/>
                      <w:color w:val="000000"/>
                      <w:sz w:val="24"/>
                    </w:rPr>
                  </w:pPr>
                </w:p>
              </w:tc>
              <w:tc>
                <w:tcPr>
                  <w:tcW w:w="570" w:type="dxa"/>
                  <w:shd w:val="clear" w:color="auto" w:fill="FFFFFF"/>
                  <w:vAlign w:val="center"/>
                </w:tcPr>
                <w:p>
                  <w:pPr>
                    <w:jc w:val="right"/>
                    <w:rPr>
                      <w:rFonts w:ascii="宋体" w:hAnsi="宋体" w:cs="宋体"/>
                      <w:color w:val="000000"/>
                      <w:sz w:val="24"/>
                    </w:rPr>
                  </w:pPr>
                </w:p>
              </w:tc>
              <w:tc>
                <w:tcPr>
                  <w:tcW w:w="1245" w:type="dxa"/>
                  <w:shd w:val="clear" w:color="auto" w:fill="FFFFFF"/>
                  <w:vAlign w:val="center"/>
                </w:tcPr>
                <w:p>
                  <w:pPr>
                    <w:jc w:val="right"/>
                    <w:rPr>
                      <w:rFonts w:ascii="宋体" w:hAnsi="宋体" w:cs="宋体"/>
                      <w:color w:val="000000"/>
                      <w:sz w:val="24"/>
                    </w:rPr>
                  </w:pPr>
                </w:p>
              </w:tc>
              <w:tc>
                <w:tcPr>
                  <w:tcW w:w="1727" w:type="dxa"/>
                  <w:shd w:val="clear" w:color="auto" w:fill="FFFFFF"/>
                  <w:vAlign w:val="center"/>
                </w:tcPr>
                <w:p>
                  <w:pPr>
                    <w:jc w:val="right"/>
                    <w:rPr>
                      <w:rFonts w:ascii="宋体" w:hAnsi="宋体" w:cs="宋体"/>
                      <w:color w:val="000000"/>
                      <w:sz w:val="24"/>
                    </w:rPr>
                  </w:pPr>
                </w:p>
              </w:tc>
              <w:tc>
                <w:tcPr>
                  <w:tcW w:w="1757" w:type="dxa"/>
                  <w:shd w:val="clear" w:color="auto" w:fill="FFFFFF"/>
                  <w:vAlign w:val="center"/>
                </w:tcPr>
                <w:p>
                  <w:pPr>
                    <w:jc w:val="right"/>
                    <w:rPr>
                      <w:rFonts w:ascii="宋体" w:hAnsi="宋体" w:cs="宋体"/>
                      <w:color w:val="000000"/>
                      <w:sz w:val="24"/>
                    </w:rPr>
                  </w:pPr>
                </w:p>
              </w:tc>
              <w:tc>
                <w:tcPr>
                  <w:tcW w:w="1080" w:type="dxa"/>
                  <w:shd w:val="clear" w:color="auto" w:fill="FFFFFF"/>
                  <w:vAlign w:val="center"/>
                </w:tcPr>
                <w:p>
                  <w:pPr>
                    <w:jc w:val="right"/>
                    <w:rPr>
                      <w:rFonts w:ascii="宋体" w:hAnsi="宋体" w:cs="宋体"/>
                      <w:color w:val="000000"/>
                      <w:sz w:val="24"/>
                    </w:rPr>
                  </w:pPr>
                </w:p>
              </w:tc>
              <w:tc>
                <w:tcPr>
                  <w:tcW w:w="1080" w:type="dxa"/>
                  <w:shd w:val="clear" w:color="auto" w:fill="FFFFFF"/>
                  <w:vAlign w:val="center"/>
                </w:tcPr>
                <w:p>
                  <w:pPr>
                    <w:jc w:val="right"/>
                    <w:rPr>
                      <w:rFonts w:ascii="宋体" w:hAnsi="宋体" w:cs="宋体"/>
                      <w:color w:val="000000"/>
                      <w:sz w:val="24"/>
                    </w:rPr>
                  </w:pPr>
                </w:p>
              </w:tc>
              <w:tc>
                <w:tcPr>
                  <w:tcW w:w="1080" w:type="dxa"/>
                  <w:shd w:val="clear" w:color="auto" w:fill="FFFFFF"/>
                  <w:vAlign w:val="center"/>
                </w:tcPr>
                <w:p>
                  <w:pPr>
                    <w:jc w:val="right"/>
                    <w:rPr>
                      <w:rFonts w:ascii="宋体" w:hAnsi="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公开04表</w:t>
                  </w:r>
                </w:p>
              </w:tc>
            </w:tr>
            <w:tr>
              <w:tblPrEx>
                <w:tblCellMar>
                  <w:top w:w="15" w:type="dxa"/>
                  <w:left w:w="15" w:type="dxa"/>
                  <w:bottom w:w="15" w:type="dxa"/>
                  <w:right w:w="15" w:type="dxa"/>
                </w:tblCellMar>
              </w:tblPrEx>
              <w:trPr>
                <w:trHeight w:val="286" w:hRule="atLeast"/>
              </w:trPr>
              <w:tc>
                <w:tcPr>
                  <w:tcW w:w="675"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w:t>
                  </w:r>
                </w:p>
              </w:tc>
              <w:tc>
                <w:tcPr>
                  <w:tcW w:w="3542" w:type="dxa"/>
                  <w:gridSpan w:val="3"/>
                  <w:shd w:val="clear" w:color="auto" w:fill="FFFFFF"/>
                  <w:vAlign w:val="center"/>
                </w:tcPr>
                <w:p>
                  <w:pPr>
                    <w:jc w:val="both"/>
                    <w:rPr>
                      <w:rFonts w:ascii="宋体" w:hAnsi="宋体" w:cs="宋体"/>
                      <w:color w:val="000000"/>
                      <w:sz w:val="24"/>
                    </w:rPr>
                  </w:pPr>
                  <w:r>
                    <w:rPr>
                      <w:rFonts w:hint="eastAsia" w:ascii="宋体" w:hAnsi="宋体" w:cs="宋体"/>
                      <w:color w:val="000000"/>
                      <w:sz w:val="24"/>
                      <w:lang w:val="en-US" w:eastAsia="zh-CN"/>
                    </w:rPr>
                    <w:t>222006保定市易县廉政教育中心</w:t>
                  </w:r>
                  <w:r>
                    <w:rPr>
                      <w:rFonts w:hint="eastAsia" w:ascii="宋体" w:hAnsi="宋体" w:cs="宋体"/>
                      <w:color w:val="000000"/>
                      <w:sz w:val="24"/>
                      <w:szCs w:val="24"/>
                    </w:rPr>
                    <w:t xml:space="preserve">  </w:t>
                  </w:r>
                </w:p>
              </w:tc>
              <w:tc>
                <w:tcPr>
                  <w:tcW w:w="1757" w:type="dxa"/>
                  <w:shd w:val="clear" w:color="auto" w:fill="FFFFFF"/>
                  <w:vAlign w:val="center"/>
                </w:tcPr>
                <w:p>
                  <w:pPr>
                    <w:ind w:firstLine="720" w:firstLineChars="300"/>
                    <w:rPr>
                      <w:rFonts w:ascii="宋体" w:hAnsi="宋体" w:cs="宋体"/>
                      <w:color w:val="000000"/>
                      <w:sz w:val="24"/>
                    </w:rPr>
                  </w:pPr>
                  <w:r>
                    <w:rPr>
                      <w:rFonts w:hint="eastAsia" w:ascii="宋体" w:hAnsi="宋体" w:cs="宋体"/>
                      <w:color w:val="000000"/>
                      <w:sz w:val="24"/>
                      <w:szCs w:val="24"/>
                    </w:rPr>
                    <w:t>2022年度</w:t>
                  </w:r>
                </w:p>
              </w:tc>
              <w:tc>
                <w:tcPr>
                  <w:tcW w:w="1080" w:type="dxa"/>
                  <w:shd w:val="clear" w:color="auto" w:fill="FFFFFF"/>
                  <w:vAlign w:val="center"/>
                </w:tcPr>
                <w:p>
                  <w:pPr>
                    <w:jc w:val="center"/>
                    <w:rPr>
                      <w:rFonts w:ascii="宋体" w:hAnsi="宋体" w:cs="宋体"/>
                      <w:color w:val="000000"/>
                      <w:sz w:val="20"/>
                      <w:szCs w:val="20"/>
                    </w:rPr>
                  </w:pPr>
                </w:p>
              </w:tc>
              <w:tc>
                <w:tcPr>
                  <w:tcW w:w="1080" w:type="dxa"/>
                  <w:shd w:val="clear" w:color="auto" w:fill="FFFFFF"/>
                  <w:vAlign w:val="center"/>
                </w:tcPr>
                <w:p>
                  <w:pPr>
                    <w:jc w:val="right"/>
                    <w:rPr>
                      <w:rFonts w:ascii="宋体" w:hAnsi="宋体" w:cs="宋体"/>
                      <w:color w:val="000000"/>
                      <w:sz w:val="24"/>
                    </w:rPr>
                  </w:pPr>
                </w:p>
              </w:tc>
              <w:tc>
                <w:tcPr>
                  <w:tcW w:w="1080" w:type="dxa"/>
                  <w:shd w:val="clear" w:color="auto" w:fill="FFFFFF"/>
                  <w:vAlign w:val="center"/>
                </w:tcPr>
                <w:p>
                  <w:pPr>
                    <w:wordWrap w:val="0"/>
                    <w:jc w:val="right"/>
                    <w:rPr>
                      <w:rFonts w:ascii="宋体" w:hAnsi="宋体" w:cs="宋体"/>
                      <w:color w:val="000000"/>
                      <w:sz w:val="24"/>
                    </w:rPr>
                  </w:pPr>
                  <w:r>
                    <w:rPr>
                      <w:rFonts w:hint="eastAsia" w:ascii="宋体" w:hAnsi="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bl>
          <w:p>
            <w:pPr>
              <w:widowControl/>
              <w:jc w:val="center"/>
              <w:textAlignment w:val="center"/>
              <w:rPr>
                <w:rFonts w:ascii="华文中宋" w:hAnsi="华文中宋" w:eastAsia="华文中宋" w:cs="华文中宋"/>
                <w:color w:val="000000"/>
                <w:kern w:val="0"/>
                <w:sz w:val="32"/>
                <w:szCs w:val="32"/>
              </w:rPr>
            </w:pPr>
          </w:p>
        </w:tc>
      </w:tr>
      <w:tr>
        <w:tblPrEx>
          <w:tblCellMar>
            <w:top w:w="15" w:type="dxa"/>
            <w:left w:w="15" w:type="dxa"/>
            <w:bottom w:w="15" w:type="dxa"/>
            <w:right w:w="15" w:type="dxa"/>
          </w:tblCellMar>
        </w:tblPrEx>
        <w:trPr>
          <w:gridAfter w:val="2"/>
          <w:wAfter w:w="3356" w:type="dxa"/>
          <w:trHeight w:val="221" w:hRule="atLeast"/>
        </w:trPr>
        <w:tc>
          <w:tcPr>
            <w:tcW w:w="33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7493"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CellMar>
            <w:top w:w="15" w:type="dxa"/>
            <w:left w:w="15" w:type="dxa"/>
            <w:bottom w:w="15" w:type="dxa"/>
            <w:right w:w="15" w:type="dxa"/>
          </w:tblCellMar>
        </w:tblPrEx>
        <w:trPr>
          <w:gridAfter w:val="2"/>
          <w:wAfter w:w="3356" w:type="dxa"/>
          <w:trHeight w:val="580" w:hRule="atLeast"/>
        </w:trPr>
        <w:tc>
          <w:tcPr>
            <w:tcW w:w="220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2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c>
          <w:tcPr>
            <w:tcW w:w="1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20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3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4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1"/>
                <w:szCs w:val="11"/>
              </w:rPr>
            </w:pPr>
            <w:r>
              <w:rPr>
                <w:rFonts w:hint="eastAsia"/>
                <w:sz w:val="18"/>
                <w:szCs w:val="21"/>
              </w:rPr>
              <w:t>一、一般公共预算财政拨款</w:t>
            </w:r>
          </w:p>
        </w:tc>
        <w:tc>
          <w:tcPr>
            <w:tcW w:w="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rPr>
              <w:t>1</w:t>
            </w: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2163.97</w:t>
            </w:r>
          </w:p>
        </w:tc>
        <w:tc>
          <w:tcPr>
            <w:tcW w:w="2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sz w:val="20"/>
              </w:rPr>
              <w:t>一、一般公共服务支出</w:t>
            </w: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sz w:val="20"/>
              </w:rPr>
              <w:t>33</w:t>
            </w: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2083.6</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2083.6</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1"/>
                <w:szCs w:val="11"/>
              </w:rPr>
            </w:pPr>
            <w:r>
              <w:rPr>
                <w:rFonts w:hint="eastAsia"/>
                <w:sz w:val="18"/>
                <w:szCs w:val="21"/>
              </w:rPr>
              <w:t>二、政府性基金预算财政拨款</w:t>
            </w:r>
          </w:p>
        </w:tc>
        <w:tc>
          <w:tcPr>
            <w:tcW w:w="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rPr>
              <w:t>2</w:t>
            </w: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sz w:val="20"/>
              </w:rPr>
              <w:t>二、外交支出</w:t>
            </w: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sz w:val="20"/>
              </w:rPr>
              <w:t>34</w:t>
            </w: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1"/>
                <w:szCs w:val="11"/>
              </w:rPr>
            </w:pPr>
            <w:r>
              <w:rPr>
                <w:rFonts w:hint="eastAsia"/>
                <w:sz w:val="16"/>
                <w:szCs w:val="20"/>
              </w:rPr>
              <w:t>三、国有资本经营预算财政拨款</w:t>
            </w:r>
          </w:p>
        </w:tc>
        <w:tc>
          <w:tcPr>
            <w:tcW w:w="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rPr>
              <w:t>3</w:t>
            </w:r>
          </w:p>
        </w:tc>
        <w:tc>
          <w:tcPr>
            <w:tcW w:w="8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sz w:val="20"/>
              </w:rPr>
              <w:t>三、国防支出</w:t>
            </w: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sz w:val="20"/>
              </w:rPr>
              <w:t>35</w:t>
            </w: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rPr>
              <w:t>4</w:t>
            </w:r>
          </w:p>
        </w:tc>
        <w:tc>
          <w:tcPr>
            <w:tcW w:w="80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sz w:val="20"/>
              </w:rPr>
              <w:t>四、公共安全支出</w:t>
            </w: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sz w:val="20"/>
              </w:rPr>
              <w:t>36</w:t>
            </w: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rPr>
              <w:t>5</w:t>
            </w:r>
          </w:p>
        </w:tc>
        <w:tc>
          <w:tcPr>
            <w:tcW w:w="80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sz w:val="20"/>
              </w:rPr>
              <w:t>五、教育支出</w:t>
            </w: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sz w:val="20"/>
              </w:rPr>
              <w:t>37</w:t>
            </w: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rPr>
              <w:t>6</w:t>
            </w:r>
          </w:p>
        </w:tc>
        <w:tc>
          <w:tcPr>
            <w:tcW w:w="80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sz w:val="20"/>
              </w:rPr>
              <w:t>六、科学技术支出</w:t>
            </w: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sz w:val="20"/>
              </w:rPr>
              <w:t>38</w:t>
            </w: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rPr>
              <w:t>7</w:t>
            </w:r>
          </w:p>
        </w:tc>
        <w:tc>
          <w:tcPr>
            <w:tcW w:w="80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sz w:val="20"/>
              </w:rPr>
              <w:t>七、文化旅游体育与传媒支出</w:t>
            </w: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sz w:val="20"/>
              </w:rPr>
              <w:t>39</w:t>
            </w: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rPr>
              <w:t>8</w:t>
            </w:r>
          </w:p>
        </w:tc>
        <w:tc>
          <w:tcPr>
            <w:tcW w:w="80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r>
              <w:rPr>
                <w:rFonts w:hint="eastAsia"/>
                <w:sz w:val="20"/>
              </w:rPr>
              <w:t>八、社会保障和就业支出</w:t>
            </w: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sz w:val="20"/>
              </w:rPr>
              <w:t>40</w:t>
            </w: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33.71</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33.71</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5"/>
                <w:szCs w:val="15"/>
              </w:rPr>
            </w:pPr>
          </w:p>
        </w:tc>
        <w:tc>
          <w:tcPr>
            <w:tcW w:w="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rPr>
              <w:t>9</w:t>
            </w:r>
          </w:p>
        </w:tc>
        <w:tc>
          <w:tcPr>
            <w:tcW w:w="80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13"/>
                <w:szCs w:val="13"/>
              </w:rPr>
            </w:pPr>
            <w:r>
              <w:rPr>
                <w:rFonts w:hint="eastAsia"/>
                <w:sz w:val="20"/>
              </w:rPr>
              <w:t>九、卫生健康支出</w:t>
            </w: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sz w:val="20"/>
              </w:rPr>
              <w:t>41</w:t>
            </w: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19.21</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19.21</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rPr>
              <w:t>10</w:t>
            </w:r>
          </w:p>
        </w:tc>
        <w:tc>
          <w:tcPr>
            <w:tcW w:w="80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sz w:val="20"/>
              </w:rPr>
              <w:t>十、节能环保支出</w:t>
            </w: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sz w:val="20"/>
              </w:rPr>
              <w:t>42</w:t>
            </w: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rPr>
              <w:t>11</w:t>
            </w:r>
          </w:p>
        </w:tc>
        <w:tc>
          <w:tcPr>
            <w:tcW w:w="80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r>
              <w:rPr>
                <w:rFonts w:hint="eastAsia"/>
                <w:sz w:val="20"/>
              </w:rPr>
              <w:t>十一、城乡社区支出</w:t>
            </w: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sz w:val="20"/>
              </w:rPr>
              <w:t>43</w:t>
            </w: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rPr>
              <w:t>12</w:t>
            </w:r>
          </w:p>
        </w:tc>
        <w:tc>
          <w:tcPr>
            <w:tcW w:w="80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r>
              <w:rPr>
                <w:rFonts w:hint="eastAsia"/>
                <w:sz w:val="20"/>
              </w:rPr>
              <w:t>十二、农林水支出</w:t>
            </w: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sz w:val="20"/>
              </w:rPr>
              <w:t>44</w:t>
            </w: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p>
        </w:tc>
        <w:tc>
          <w:tcPr>
            <w:tcW w:w="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rPr>
              <w:t>13</w:t>
            </w:r>
          </w:p>
        </w:tc>
        <w:tc>
          <w:tcPr>
            <w:tcW w:w="80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r>
              <w:rPr>
                <w:rFonts w:hint="eastAsia"/>
                <w:sz w:val="20"/>
              </w:rPr>
              <w:t>十三、交通运输支出</w:t>
            </w:r>
          </w:p>
        </w:tc>
        <w:tc>
          <w:tcPr>
            <w:tcW w:w="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sz w:val="20"/>
              </w:rPr>
              <w:t>45</w:t>
            </w: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sz w:val="15"/>
                <w:szCs w:val="15"/>
              </w:rPr>
            </w:pP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rPr>
              <w:t>14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sz w:val="13"/>
                <w:szCs w:val="13"/>
              </w:rPr>
            </w:pPr>
            <w:r>
              <w:rPr>
                <w:rFonts w:hint="eastAsia"/>
                <w:sz w:val="18"/>
                <w:szCs w:val="21"/>
              </w:rPr>
              <w:t>十四、资源勘探工业信息等支出</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sz w:val="20"/>
              </w:rPr>
              <w:t>46</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 w:val="22"/>
              </w:rPr>
            </w:pP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15</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kern w:val="0"/>
                <w:szCs w:val="21"/>
              </w:rPr>
            </w:pPr>
            <w:r>
              <w:rPr>
                <w:rFonts w:hint="eastAsia"/>
                <w:sz w:val="20"/>
              </w:rPr>
              <w:t>十五、商业服务业等支出</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47</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 w:val="22"/>
              </w:rPr>
            </w:pP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16</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kern w:val="0"/>
                <w:szCs w:val="21"/>
              </w:rPr>
            </w:pPr>
            <w:r>
              <w:rPr>
                <w:rFonts w:hint="eastAsia"/>
                <w:sz w:val="20"/>
              </w:rPr>
              <w:t>十六、金融支出</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48</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 w:val="22"/>
              </w:rPr>
            </w:pP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17</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kern w:val="0"/>
                <w:szCs w:val="21"/>
              </w:rPr>
            </w:pPr>
            <w:r>
              <w:rPr>
                <w:rFonts w:hint="eastAsia"/>
                <w:sz w:val="20"/>
              </w:rPr>
              <w:t>十七、援助其他地区支出</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49</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 w:val="22"/>
              </w:rPr>
            </w:pP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18</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kern w:val="0"/>
                <w:szCs w:val="21"/>
              </w:rPr>
            </w:pPr>
            <w:r>
              <w:rPr>
                <w:rFonts w:hint="eastAsia"/>
                <w:sz w:val="18"/>
                <w:szCs w:val="21"/>
              </w:rPr>
              <w:t>十八、自然资源海洋气象等支出</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50</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 w:val="22"/>
              </w:rPr>
            </w:pP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19</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kern w:val="0"/>
                <w:szCs w:val="21"/>
              </w:rPr>
            </w:pPr>
            <w:r>
              <w:rPr>
                <w:rFonts w:hint="eastAsia"/>
                <w:sz w:val="20"/>
              </w:rPr>
              <w:t>十九、住房保障支出</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51</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27.45</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27.45</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 w:val="22"/>
              </w:rPr>
            </w:pP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kern w:val="0"/>
                <w:szCs w:val="21"/>
              </w:rPr>
            </w:pPr>
            <w:r>
              <w:rPr>
                <w:rFonts w:hint="eastAsia"/>
                <w:sz w:val="20"/>
              </w:rPr>
              <w:t>二十、粮油物资储备支出</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52</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 w:val="22"/>
              </w:rPr>
            </w:pP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kern w:val="0"/>
                <w:szCs w:val="21"/>
              </w:rPr>
            </w:pPr>
            <w:r>
              <w:rPr>
                <w:rFonts w:hint="eastAsia"/>
                <w:sz w:val="18"/>
                <w:szCs w:val="21"/>
              </w:rPr>
              <w:t>二十一、国有资本经营预算支出</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53</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 w:val="22"/>
              </w:rPr>
            </w:pP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kern w:val="0"/>
                <w:szCs w:val="21"/>
              </w:rPr>
            </w:pPr>
            <w:r>
              <w:rPr>
                <w:rFonts w:hint="eastAsia"/>
                <w:sz w:val="16"/>
                <w:szCs w:val="20"/>
              </w:rPr>
              <w:t>二十二、灾害防治及应急管理支出</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54</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 w:val="22"/>
              </w:rPr>
            </w:pP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kern w:val="0"/>
                <w:szCs w:val="21"/>
              </w:rPr>
            </w:pPr>
            <w:r>
              <w:rPr>
                <w:rFonts w:hint="eastAsia"/>
                <w:sz w:val="20"/>
              </w:rPr>
              <w:t>二十三、其他支出</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55</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 w:val="22"/>
              </w:rPr>
            </w:pP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kern w:val="0"/>
                <w:szCs w:val="21"/>
              </w:rPr>
            </w:pPr>
            <w:r>
              <w:rPr>
                <w:rFonts w:hint="eastAsia"/>
                <w:sz w:val="20"/>
              </w:rPr>
              <w:t>二十四、债务还本支出</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56</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 w:val="22"/>
              </w:rPr>
            </w:pP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25</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kern w:val="0"/>
                <w:szCs w:val="21"/>
              </w:rPr>
            </w:pPr>
            <w:r>
              <w:rPr>
                <w:rFonts w:hint="eastAsia"/>
                <w:sz w:val="20"/>
              </w:rPr>
              <w:t>二十五、债务付息支出</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57</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 w:val="22"/>
              </w:rPr>
            </w:pP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26</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kern w:val="0"/>
                <w:szCs w:val="21"/>
              </w:rPr>
            </w:pPr>
            <w:r>
              <w:rPr>
                <w:rFonts w:hint="eastAsia"/>
                <w:sz w:val="16"/>
                <w:szCs w:val="20"/>
              </w:rPr>
              <w:t>二十六、抗疫特别国债安排的支出</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58</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 w:val="22"/>
              </w:rPr>
            </w:pPr>
            <w:r>
              <w:rPr>
                <w:rFonts w:hint="eastAsia"/>
                <w:b/>
                <w:bCs/>
              </w:rPr>
              <w:t>本年收入合计</w:t>
            </w: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27</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2163.97</w:t>
            </w: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Cs w:val="21"/>
              </w:rPr>
            </w:pPr>
            <w:r>
              <w:rPr>
                <w:rFonts w:hint="eastAsia"/>
                <w:b/>
                <w:bCs/>
                <w:sz w:val="20"/>
              </w:rPr>
              <w:t>本年支出合计</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59</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2163.97</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2163.97</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b/>
                <w:color w:val="000000"/>
                <w:kern w:val="0"/>
                <w:sz w:val="20"/>
                <w:szCs w:val="20"/>
              </w:rPr>
            </w:pPr>
            <w:r>
              <w:rPr>
                <w:rFonts w:hint="eastAsia"/>
                <w:sz w:val="18"/>
                <w:szCs w:val="21"/>
              </w:rPr>
              <w:t>年初财政拨款结转和结余</w:t>
            </w: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28</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kern w:val="0"/>
                <w:szCs w:val="21"/>
              </w:rPr>
            </w:pPr>
            <w:r>
              <w:rPr>
                <w:rFonts w:hint="eastAsia"/>
                <w:sz w:val="20"/>
              </w:rPr>
              <w:t>年末财政拨款结转和结余</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60</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b/>
                <w:color w:val="000000"/>
                <w:kern w:val="0"/>
                <w:sz w:val="20"/>
                <w:szCs w:val="20"/>
              </w:rPr>
            </w:pPr>
            <w:r>
              <w:rPr>
                <w:rFonts w:hint="eastAsia"/>
                <w:sz w:val="18"/>
                <w:szCs w:val="21"/>
              </w:rPr>
              <w:t xml:space="preserve">  一般公共预算财政拨款</w:t>
            </w: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29</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kern w:val="0"/>
                <w:szCs w:val="21"/>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61</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b/>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b/>
                <w:color w:val="000000"/>
                <w:kern w:val="0"/>
                <w:sz w:val="20"/>
                <w:szCs w:val="20"/>
              </w:rPr>
            </w:pPr>
            <w:r>
              <w:rPr>
                <w:rFonts w:hint="eastAsia"/>
                <w:sz w:val="18"/>
                <w:szCs w:val="21"/>
              </w:rPr>
              <w:t xml:space="preserve">  政府性基金预算财政拨款</w:t>
            </w: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30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kern w:val="0"/>
                <w:szCs w:val="21"/>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62</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b/>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b/>
                <w:color w:val="000000"/>
                <w:kern w:val="0"/>
                <w:sz w:val="20"/>
                <w:szCs w:val="20"/>
              </w:rPr>
            </w:pPr>
            <w:r>
              <w:rPr>
                <w:rFonts w:hint="eastAsia"/>
                <w:sz w:val="16"/>
                <w:szCs w:val="20"/>
              </w:rPr>
              <w:t xml:space="preserve">  国有资本经营预算财政拨款</w:t>
            </w: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2"/>
              </w:rPr>
            </w:pPr>
            <w:r>
              <w:rPr>
                <w:rFonts w:hint="eastAsia"/>
              </w:rPr>
              <w:t>31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宋体"/>
                <w:color w:val="000000"/>
                <w:sz w:val="22"/>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color w:val="000000"/>
                <w:kern w:val="0"/>
                <w:szCs w:val="21"/>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63</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kern w:val="2"/>
                <w:sz w:val="22"/>
                <w:szCs w:val="22"/>
                <w:lang w:val="en-US" w:eastAsia="zh-CN" w:bidi="ar-SA"/>
              </w:rPr>
            </w:pP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b/>
                <w:color w:val="000000"/>
                <w:kern w:val="2"/>
                <w:sz w:val="22"/>
                <w:szCs w:val="22"/>
                <w:lang w:val="en-US" w:eastAsia="zh-CN" w:bidi="ar-SA"/>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 w:val="22"/>
              </w:rPr>
            </w:pPr>
            <w:r>
              <w:rPr>
                <w:rFonts w:hint="eastAsia"/>
                <w:b/>
                <w:bCs/>
              </w:rPr>
              <w:t>总计</w:t>
            </w:r>
          </w:p>
        </w:tc>
        <w:tc>
          <w:tcPr>
            <w:tcW w:w="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2163.97</w:t>
            </w: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Cs w:val="21"/>
              </w:rPr>
            </w:pPr>
            <w:r>
              <w:rPr>
                <w:rFonts w:hint="eastAsia"/>
                <w:b/>
                <w:bCs/>
                <w:sz w:val="20"/>
              </w:rPr>
              <w:t>总计</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Cs w:val="21"/>
              </w:rPr>
            </w:pPr>
            <w:r>
              <w:rPr>
                <w:rFonts w:hint="eastAsia"/>
                <w:sz w:val="20"/>
              </w:rPr>
              <w:t>64</w:t>
            </w:r>
          </w:p>
        </w:tc>
        <w:tc>
          <w:tcPr>
            <w:tcW w:w="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2163.97</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2163.97</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 w:val="22"/>
              </w:rPr>
            </w:pPr>
          </w:p>
        </w:tc>
        <w:tc>
          <w:tcPr>
            <w:tcW w:w="13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szCs w:val="24"/>
              </w:rPr>
              <w:t>注：本表反映</w:t>
            </w:r>
            <w:r>
              <w:rPr>
                <w:rFonts w:hint="eastAsia" w:ascii="宋体" w:hAnsi="宋体" w:cs="宋体"/>
                <w:color w:val="000000"/>
                <w:kern w:val="0"/>
                <w:sz w:val="24"/>
                <w:szCs w:val="24"/>
                <w:lang w:eastAsia="zh-CN"/>
              </w:rPr>
              <w:t>单位</w:t>
            </w:r>
            <w:r>
              <w:rPr>
                <w:rFonts w:hint="eastAsia" w:ascii="宋体" w:hAnsi="宋体" w:cs="宋体"/>
                <w:color w:val="000000"/>
                <w:kern w:val="0"/>
                <w:sz w:val="24"/>
                <w:szCs w:val="24"/>
              </w:rPr>
              <w:t>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cs="宋体"/>
                <w:color w:val="000000"/>
                <w:sz w:val="20"/>
                <w:szCs w:val="20"/>
              </w:rPr>
            </w:pPr>
          </w:p>
        </w:tc>
        <w:tc>
          <w:tcPr>
            <w:tcW w:w="1080" w:type="dxa"/>
            <w:shd w:val="clear" w:color="auto" w:fill="FFFFFF"/>
            <w:vAlign w:val="center"/>
          </w:tcPr>
          <w:p>
            <w:pPr>
              <w:jc w:val="center"/>
              <w:rPr>
                <w:rFonts w:ascii="宋体" w:hAnsi="宋体" w:cs="宋体"/>
                <w:color w:val="000000"/>
                <w:sz w:val="20"/>
                <w:szCs w:val="20"/>
              </w:rPr>
            </w:pPr>
          </w:p>
        </w:tc>
        <w:tc>
          <w:tcPr>
            <w:tcW w:w="2326" w:type="dxa"/>
            <w:gridSpan w:val="4"/>
            <w:shd w:val="clear" w:color="auto" w:fill="FFFFFF"/>
            <w:vAlign w:val="center"/>
          </w:tcPr>
          <w:p>
            <w:pPr>
              <w:jc w:val="center"/>
              <w:rPr>
                <w:rFonts w:ascii="宋体" w:hAnsi="宋体" w:cs="宋体"/>
                <w:color w:val="000000"/>
                <w:sz w:val="20"/>
                <w:szCs w:val="20"/>
              </w:rPr>
            </w:pPr>
          </w:p>
        </w:tc>
        <w:tc>
          <w:tcPr>
            <w:tcW w:w="2386" w:type="dxa"/>
            <w:gridSpan w:val="3"/>
            <w:shd w:val="clear" w:color="auto" w:fill="FFFFFF"/>
            <w:vAlign w:val="center"/>
          </w:tcPr>
          <w:p>
            <w:pPr>
              <w:rPr>
                <w:rFonts w:ascii="宋体" w:hAnsi="宋体" w:cs="宋体"/>
                <w:color w:val="000000"/>
                <w:sz w:val="20"/>
                <w:szCs w:val="20"/>
              </w:rPr>
            </w:pPr>
          </w:p>
        </w:tc>
        <w:tc>
          <w:tcPr>
            <w:tcW w:w="2176" w:type="dxa"/>
            <w:gridSpan w:val="3"/>
            <w:shd w:val="clear" w:color="auto" w:fill="FFFFFF"/>
            <w:vAlign w:val="center"/>
          </w:tcPr>
          <w:p>
            <w:pPr>
              <w:rPr>
                <w:rFonts w:ascii="宋体" w:hAnsi="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w:t>
            </w:r>
            <w:r>
              <w:rPr>
                <w:rStyle w:val="10"/>
                <w:rFonts w:hint="default"/>
              </w:rPr>
              <w:t>5表</w:t>
            </w:r>
          </w:p>
        </w:tc>
      </w:tr>
      <w:tr>
        <w:tblPrEx>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w:t>
            </w:r>
          </w:p>
        </w:tc>
        <w:tc>
          <w:tcPr>
            <w:tcW w:w="3406" w:type="dxa"/>
            <w:gridSpan w:val="5"/>
            <w:shd w:val="clear" w:color="auto" w:fill="FFFFFF"/>
            <w:vAlign w:val="center"/>
          </w:tcPr>
          <w:p>
            <w:pPr>
              <w:jc w:val="both"/>
              <w:rPr>
                <w:rFonts w:ascii="宋体" w:hAnsi="宋体" w:cs="宋体"/>
                <w:color w:val="000000"/>
                <w:sz w:val="20"/>
                <w:szCs w:val="20"/>
              </w:rPr>
            </w:pPr>
            <w:r>
              <w:rPr>
                <w:rFonts w:hint="eastAsia" w:ascii="宋体" w:hAnsi="宋体" w:cs="宋体"/>
                <w:color w:val="000000"/>
                <w:sz w:val="20"/>
                <w:szCs w:val="20"/>
                <w:lang w:val="en-US" w:eastAsia="zh-CN"/>
              </w:rPr>
              <w:t>222006保定市易县廉政教育中心</w:t>
            </w:r>
            <w:r>
              <w:rPr>
                <w:rFonts w:hint="eastAsia" w:ascii="宋体" w:hAnsi="宋体" w:cs="宋体"/>
                <w:color w:val="000000"/>
                <w:sz w:val="20"/>
                <w:szCs w:val="20"/>
              </w:rPr>
              <w:t xml:space="preserve">             </w:t>
            </w:r>
          </w:p>
        </w:tc>
        <w:tc>
          <w:tcPr>
            <w:tcW w:w="2386" w:type="dxa"/>
            <w:gridSpan w:val="3"/>
            <w:shd w:val="clear" w:color="auto" w:fill="FFFFFF"/>
            <w:vAlign w:val="center"/>
          </w:tcPr>
          <w:p>
            <w:pPr>
              <w:jc w:val="center"/>
              <w:rPr>
                <w:rFonts w:ascii="宋体" w:hAnsi="宋体" w:cs="宋体"/>
                <w:color w:val="000000"/>
                <w:sz w:val="20"/>
                <w:szCs w:val="20"/>
              </w:rPr>
            </w:pPr>
            <w:r>
              <w:rPr>
                <w:rFonts w:hint="eastAsia" w:ascii="宋体" w:hAnsi="宋体" w:cs="宋体"/>
                <w:color w:val="000000"/>
                <w:sz w:val="20"/>
                <w:szCs w:val="20"/>
              </w:rPr>
              <w:t>2022年度</w:t>
            </w:r>
          </w:p>
        </w:tc>
        <w:tc>
          <w:tcPr>
            <w:tcW w:w="2176" w:type="dxa"/>
            <w:gridSpan w:val="3"/>
            <w:shd w:val="clear" w:color="auto" w:fill="FFFFFF"/>
            <w:vAlign w:val="center"/>
          </w:tcPr>
          <w:p>
            <w:pPr>
              <w:rPr>
                <w:rFonts w:ascii="宋体" w:hAnsi="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 xml:space="preserve">项 </w:t>
            </w:r>
            <w:r>
              <w:rPr>
                <w:rStyle w:val="11"/>
                <w:rFonts w:hint="default"/>
              </w:rPr>
              <w:t xml:space="preserve">   </w:t>
            </w:r>
            <w:r>
              <w:rPr>
                <w:rStyle w:val="12"/>
                <w:rFonts w:hint="default"/>
              </w:rPr>
              <w:t>目</w:t>
            </w:r>
          </w:p>
        </w:tc>
        <w:tc>
          <w:tcPr>
            <w:tcW w:w="6842"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科目名称</w:t>
            </w:r>
          </w:p>
        </w:tc>
        <w:tc>
          <w:tcPr>
            <w:tcW w:w="2386"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栏次</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1</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2</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合计</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2163.97</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388.6</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1775.38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一般公共服务支出</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2083.6</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308.23</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1775.38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20111</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纪检监察事务</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2083.6</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308.23</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1775.38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2011150</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308.23</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308.23</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2011199</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其他纪检监察事务支出</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1775.38</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1775.38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33.71</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33.71</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33.71</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33.71</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33.71</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33.71</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卫生健康支出</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19.21</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19.21</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21011</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行政事业单位医疗</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19.21</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19.21</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2101102</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10.83</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10.83</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2101103</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8.38</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8.38</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住房保障支出</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27.45</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27.45</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22102</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住房改革支出</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27.45</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27.45</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3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27.45</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r>
              <w:rPr>
                <w:rFonts w:hint="eastAsia" w:ascii="宋体" w:hAnsi="宋体" w:eastAsia="宋体" w:cs="宋体"/>
                <w:b w:val="0"/>
                <w:bCs w:val="0"/>
                <w:i w:val="0"/>
                <w:iCs w:val="0"/>
                <w:color w:val="000000"/>
                <w:kern w:val="0"/>
                <w:sz w:val="22"/>
                <w:szCs w:val="22"/>
                <w:u w:val="none"/>
                <w:lang w:val="en-US" w:eastAsia="zh-CN" w:bidi="ar"/>
              </w:rPr>
              <w:t>27.45</w:t>
            </w:r>
          </w:p>
        </w:tc>
        <w:tc>
          <w:tcPr>
            <w:tcW w:w="22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5"/>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szCs w:val="24"/>
              </w:rPr>
              <w:t>注：本表反映</w:t>
            </w:r>
            <w:r>
              <w:rPr>
                <w:rFonts w:hint="eastAsia" w:ascii="宋体" w:hAnsi="宋体" w:cs="宋体"/>
                <w:color w:val="000000"/>
                <w:kern w:val="0"/>
                <w:sz w:val="24"/>
                <w:szCs w:val="24"/>
                <w:lang w:eastAsia="zh-CN"/>
              </w:rPr>
              <w:t>单位</w:t>
            </w:r>
            <w:r>
              <w:rPr>
                <w:rFonts w:hint="eastAsia" w:ascii="宋体" w:hAnsi="宋体" w:cs="宋体"/>
                <w:color w:val="000000"/>
                <w:kern w:val="0"/>
                <w:sz w:val="24"/>
                <w:szCs w:val="24"/>
              </w:rPr>
              <w:t>本年度一般公共预算财政拨款支出情况。</w:t>
            </w:r>
          </w:p>
        </w:tc>
      </w:tr>
    </w:tbl>
    <w:p>
      <w:pPr>
        <w:sectPr>
          <w:pgSz w:w="11906" w:h="16838"/>
          <w:pgMar w:top="567" w:right="567" w:bottom="567" w:left="567" w:header="851" w:footer="992" w:gutter="0"/>
          <w:cols w:space="72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w:t>
            </w:r>
            <w:r>
              <w:rPr>
                <w:rStyle w:val="13"/>
                <w:rFonts w:hint="default"/>
              </w:rPr>
              <w:t>明细</w:t>
            </w:r>
            <w:r>
              <w:rPr>
                <w:rStyle w:val="14"/>
                <w:rFonts w:hint="default"/>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cs="宋体"/>
                <w:color w:val="000000"/>
                <w:sz w:val="20"/>
                <w:szCs w:val="20"/>
              </w:rPr>
            </w:pPr>
          </w:p>
        </w:tc>
        <w:tc>
          <w:tcPr>
            <w:tcW w:w="2138" w:type="dxa"/>
            <w:shd w:val="clear" w:color="auto" w:fill="FFFFFF"/>
            <w:vAlign w:val="center"/>
          </w:tcPr>
          <w:p>
            <w:pPr>
              <w:jc w:val="center"/>
              <w:rPr>
                <w:rFonts w:ascii="宋体" w:hAnsi="宋体" w:cs="宋体"/>
                <w:color w:val="000000"/>
                <w:sz w:val="20"/>
                <w:szCs w:val="20"/>
              </w:rPr>
            </w:pPr>
          </w:p>
        </w:tc>
        <w:tc>
          <w:tcPr>
            <w:tcW w:w="862" w:type="dxa"/>
            <w:shd w:val="clear" w:color="auto" w:fill="FFFFFF"/>
            <w:vAlign w:val="center"/>
          </w:tcPr>
          <w:p>
            <w:pPr>
              <w:jc w:val="center"/>
              <w:rPr>
                <w:rFonts w:ascii="宋体" w:hAnsi="宋体" w:cs="宋体"/>
                <w:color w:val="000000"/>
                <w:sz w:val="20"/>
                <w:szCs w:val="20"/>
              </w:rPr>
            </w:pPr>
          </w:p>
        </w:tc>
        <w:tc>
          <w:tcPr>
            <w:tcW w:w="638" w:type="dxa"/>
            <w:shd w:val="clear" w:color="auto" w:fill="FFFFFF"/>
            <w:vAlign w:val="center"/>
          </w:tcPr>
          <w:p>
            <w:pPr>
              <w:rPr>
                <w:rFonts w:ascii="宋体" w:hAnsi="宋体" w:cs="宋体"/>
                <w:color w:val="000000"/>
                <w:sz w:val="20"/>
                <w:szCs w:val="20"/>
              </w:rPr>
            </w:pPr>
          </w:p>
        </w:tc>
        <w:tc>
          <w:tcPr>
            <w:tcW w:w="1668" w:type="dxa"/>
            <w:shd w:val="clear" w:color="auto" w:fill="FFFFFF"/>
            <w:vAlign w:val="center"/>
          </w:tcPr>
          <w:p>
            <w:pPr>
              <w:rPr>
                <w:rFonts w:ascii="宋体" w:hAnsi="宋体" w:cs="宋体"/>
                <w:color w:val="000000"/>
                <w:sz w:val="20"/>
                <w:szCs w:val="20"/>
              </w:rPr>
            </w:pPr>
          </w:p>
        </w:tc>
        <w:tc>
          <w:tcPr>
            <w:tcW w:w="938" w:type="dxa"/>
            <w:shd w:val="clear" w:color="auto" w:fill="FFFFFF"/>
            <w:vAlign w:val="center"/>
          </w:tcPr>
          <w:p>
            <w:pPr>
              <w:rPr>
                <w:rFonts w:ascii="宋体" w:hAnsi="宋体" w:cs="宋体"/>
                <w:color w:val="000000"/>
                <w:sz w:val="20"/>
                <w:szCs w:val="20"/>
              </w:rPr>
            </w:pPr>
          </w:p>
        </w:tc>
        <w:tc>
          <w:tcPr>
            <w:tcW w:w="619" w:type="dxa"/>
            <w:shd w:val="clear" w:color="auto" w:fill="FFFFFF"/>
            <w:vAlign w:val="center"/>
          </w:tcPr>
          <w:p>
            <w:pPr>
              <w:rPr>
                <w:rFonts w:ascii="宋体" w:hAnsi="宋体" w:cs="宋体"/>
                <w:color w:val="000000"/>
                <w:sz w:val="20"/>
                <w:szCs w:val="20"/>
              </w:rPr>
            </w:pPr>
          </w:p>
        </w:tc>
        <w:tc>
          <w:tcPr>
            <w:tcW w:w="2250" w:type="dxa"/>
            <w:shd w:val="clear" w:color="auto" w:fill="FFFFFF"/>
            <w:vAlign w:val="center"/>
          </w:tcPr>
          <w:p>
            <w:pPr>
              <w:rPr>
                <w:rFonts w:ascii="宋体" w:hAnsi="宋体" w:cs="宋体"/>
                <w:color w:val="000000"/>
                <w:sz w:val="20"/>
                <w:szCs w:val="20"/>
              </w:rPr>
            </w:pPr>
          </w:p>
        </w:tc>
        <w:tc>
          <w:tcPr>
            <w:tcW w:w="1034" w:type="dxa"/>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w:t>
            </w:r>
          </w:p>
        </w:tc>
        <w:tc>
          <w:tcPr>
            <w:tcW w:w="3000" w:type="dxa"/>
            <w:gridSpan w:val="2"/>
            <w:vAlign w:val="center"/>
          </w:tcPr>
          <w:p>
            <w:pPr>
              <w:rPr>
                <w:rFonts w:ascii="宋体" w:hAnsi="宋体" w:cs="宋体"/>
                <w:color w:val="000000"/>
                <w:sz w:val="20"/>
                <w:szCs w:val="20"/>
              </w:rPr>
            </w:pPr>
            <w:r>
              <w:rPr>
                <w:rFonts w:hint="eastAsia" w:ascii="宋体" w:hAnsi="宋体" w:cs="宋体"/>
                <w:color w:val="000000"/>
                <w:sz w:val="20"/>
                <w:szCs w:val="20"/>
                <w:lang w:val="en-US" w:eastAsia="zh-CN"/>
              </w:rPr>
              <w:t>222006保定市易县廉政教育中心</w:t>
            </w:r>
          </w:p>
        </w:tc>
        <w:tc>
          <w:tcPr>
            <w:tcW w:w="638" w:type="dxa"/>
            <w:vAlign w:val="center"/>
          </w:tcPr>
          <w:p>
            <w:pPr>
              <w:rPr>
                <w:rFonts w:ascii="宋体" w:hAnsi="宋体" w:cs="宋体"/>
                <w:color w:val="000000"/>
                <w:sz w:val="20"/>
                <w:szCs w:val="20"/>
              </w:rPr>
            </w:pPr>
          </w:p>
        </w:tc>
        <w:tc>
          <w:tcPr>
            <w:tcW w:w="1668" w:type="dxa"/>
            <w:vAlign w:val="center"/>
          </w:tcPr>
          <w:p>
            <w:pPr>
              <w:ind w:firstLine="600" w:firstLineChars="300"/>
              <w:rPr>
                <w:rFonts w:ascii="宋体" w:hAnsi="宋体" w:cs="宋体"/>
                <w:color w:val="000000"/>
                <w:sz w:val="20"/>
                <w:szCs w:val="20"/>
              </w:rPr>
            </w:pPr>
            <w:r>
              <w:rPr>
                <w:rFonts w:hint="eastAsia" w:ascii="宋体" w:hAnsi="宋体" w:cs="宋体"/>
                <w:color w:val="000000"/>
                <w:sz w:val="20"/>
                <w:szCs w:val="20"/>
              </w:rPr>
              <w:t>2022年度</w:t>
            </w:r>
          </w:p>
        </w:tc>
        <w:tc>
          <w:tcPr>
            <w:tcW w:w="938" w:type="dxa"/>
            <w:vAlign w:val="center"/>
          </w:tcPr>
          <w:p>
            <w:pPr>
              <w:rPr>
                <w:rFonts w:ascii="宋体" w:hAnsi="宋体" w:cs="宋体"/>
                <w:color w:val="000000"/>
                <w:sz w:val="20"/>
                <w:szCs w:val="20"/>
              </w:rPr>
            </w:pPr>
          </w:p>
        </w:tc>
        <w:tc>
          <w:tcPr>
            <w:tcW w:w="619" w:type="dxa"/>
            <w:vAlign w:val="center"/>
          </w:tcPr>
          <w:p>
            <w:pPr>
              <w:rPr>
                <w:rFonts w:ascii="宋体" w:hAnsi="宋体" w:cs="宋体"/>
                <w:color w:val="000000"/>
                <w:sz w:val="20"/>
                <w:szCs w:val="20"/>
              </w:rPr>
            </w:pPr>
          </w:p>
        </w:tc>
        <w:tc>
          <w:tcPr>
            <w:tcW w:w="2250" w:type="dxa"/>
            <w:vAlign w:val="center"/>
          </w:tcPr>
          <w:p>
            <w:pPr>
              <w:rPr>
                <w:rFonts w:ascii="宋体" w:hAnsi="宋体" w:cs="宋体"/>
                <w:color w:val="000000"/>
                <w:sz w:val="20"/>
                <w:szCs w:val="20"/>
              </w:rPr>
            </w:pPr>
          </w:p>
        </w:tc>
        <w:tc>
          <w:tcPr>
            <w:tcW w:w="1034" w:type="dxa"/>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科目代码</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科目代码</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科目代码</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r>
              <w:rPr>
                <w:rFonts w:hint="eastAsia" w:ascii="宋体" w:hAnsi="宋体" w:eastAsia="宋体" w:cs="宋体"/>
                <w:b w:val="0"/>
                <w:bCs w:val="0"/>
                <w:i w:val="0"/>
                <w:iCs w:val="0"/>
                <w:color w:val="000000"/>
                <w:kern w:val="0"/>
                <w:sz w:val="22"/>
                <w:szCs w:val="22"/>
                <w:u w:val="none"/>
                <w:lang w:val="en-US" w:eastAsia="zh-CN" w:bidi="ar"/>
              </w:rPr>
              <w:t>370.02</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18.58</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债务利息及费用支出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r>
              <w:rPr>
                <w:rFonts w:hint="eastAsia" w:ascii="宋体" w:hAnsi="宋体" w:eastAsia="宋体" w:cs="宋体"/>
                <w:b w:val="0"/>
                <w:bCs w:val="0"/>
                <w:i w:val="0"/>
                <w:iCs w:val="0"/>
                <w:color w:val="000000"/>
                <w:kern w:val="0"/>
                <w:sz w:val="22"/>
                <w:szCs w:val="22"/>
                <w:u w:val="none"/>
                <w:lang w:val="en-US" w:eastAsia="zh-CN" w:bidi="ar"/>
              </w:rPr>
              <w:t>124.56</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7.06</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r>
              <w:rPr>
                <w:rFonts w:hint="eastAsia" w:ascii="宋体" w:hAnsi="宋体" w:eastAsia="宋体" w:cs="宋体"/>
                <w:b w:val="0"/>
                <w:bCs w:val="0"/>
                <w:i w:val="0"/>
                <w:iCs w:val="0"/>
                <w:color w:val="000000"/>
                <w:kern w:val="0"/>
                <w:sz w:val="22"/>
                <w:szCs w:val="22"/>
                <w:u w:val="none"/>
                <w:lang w:val="en-US" w:eastAsia="zh-CN" w:bidi="ar"/>
              </w:rPr>
              <w:t>21.76</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r>
              <w:rPr>
                <w:rFonts w:hint="eastAsia" w:ascii="宋体" w:hAnsi="宋体" w:eastAsia="宋体" w:cs="宋体"/>
                <w:b w:val="0"/>
                <w:bCs w:val="0"/>
                <w:i w:val="0"/>
                <w:iCs w:val="0"/>
                <w:color w:val="000000"/>
                <w:kern w:val="0"/>
                <w:sz w:val="22"/>
                <w:szCs w:val="22"/>
                <w:u w:val="none"/>
                <w:lang w:val="en-US" w:eastAsia="zh-CN" w:bidi="ar"/>
              </w:rPr>
              <w:t>18.31</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资本性支出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r>
              <w:rPr>
                <w:rFonts w:hint="eastAsia" w:ascii="宋体" w:hAnsi="宋体" w:eastAsia="宋体" w:cs="宋体"/>
                <w:b w:val="0"/>
                <w:bCs w:val="0"/>
                <w:i w:val="0"/>
                <w:iCs w:val="0"/>
                <w:color w:val="000000"/>
                <w:kern w:val="0"/>
                <w:sz w:val="22"/>
                <w:szCs w:val="22"/>
                <w:u w:val="none"/>
                <w:lang w:val="en-US" w:eastAsia="zh-CN" w:bidi="ar"/>
              </w:rPr>
              <w:t>70.66</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r>
              <w:rPr>
                <w:rFonts w:hint="eastAsia" w:ascii="宋体" w:hAnsi="宋体" w:eastAsia="宋体" w:cs="宋体"/>
                <w:b w:val="0"/>
                <w:bCs w:val="0"/>
                <w:i w:val="0"/>
                <w:iCs w:val="0"/>
                <w:color w:val="000000"/>
                <w:kern w:val="0"/>
                <w:sz w:val="22"/>
                <w:szCs w:val="22"/>
                <w:u w:val="none"/>
                <w:lang w:val="en-US" w:eastAsia="zh-CN" w:bidi="ar"/>
              </w:rPr>
              <w:t>33.71</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30110</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r>
              <w:rPr>
                <w:rFonts w:hint="eastAsia" w:ascii="宋体" w:hAnsi="宋体" w:eastAsia="宋体" w:cs="宋体"/>
                <w:b w:val="0"/>
                <w:bCs w:val="0"/>
                <w:i w:val="0"/>
                <w:iCs w:val="0"/>
                <w:color w:val="000000"/>
                <w:kern w:val="0"/>
                <w:sz w:val="22"/>
                <w:szCs w:val="22"/>
                <w:u w:val="none"/>
                <w:lang w:val="en-US" w:eastAsia="zh-CN" w:bidi="ar"/>
              </w:rPr>
              <w:t>10.83</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大型修缮</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30111</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r>
              <w:rPr>
                <w:rFonts w:hint="eastAsia" w:ascii="宋体" w:hAnsi="宋体" w:eastAsia="宋体" w:cs="宋体"/>
                <w:b w:val="0"/>
                <w:bCs w:val="0"/>
                <w:i w:val="0"/>
                <w:iCs w:val="0"/>
                <w:color w:val="000000"/>
                <w:kern w:val="0"/>
                <w:sz w:val="22"/>
                <w:szCs w:val="22"/>
                <w:u w:val="none"/>
                <w:lang w:val="en-US" w:eastAsia="zh-CN" w:bidi="ar"/>
              </w:rPr>
              <w:t>8.38</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30112</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r>
              <w:rPr>
                <w:rFonts w:hint="eastAsia" w:ascii="宋体" w:hAnsi="宋体" w:eastAsia="宋体" w:cs="宋体"/>
                <w:b w:val="0"/>
                <w:bCs w:val="0"/>
                <w:i w:val="0"/>
                <w:iCs w:val="0"/>
                <w:color w:val="000000"/>
                <w:kern w:val="0"/>
                <w:sz w:val="22"/>
                <w:szCs w:val="22"/>
                <w:u w:val="none"/>
                <w:lang w:val="en-US" w:eastAsia="zh-CN" w:bidi="ar"/>
              </w:rPr>
              <w:t>1.96</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物资储备</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30113</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r>
              <w:rPr>
                <w:rFonts w:hint="eastAsia" w:ascii="宋体" w:hAnsi="宋体" w:eastAsia="宋体" w:cs="宋体"/>
                <w:b w:val="0"/>
                <w:bCs w:val="0"/>
                <w:i w:val="0"/>
                <w:iCs w:val="0"/>
                <w:color w:val="000000"/>
                <w:kern w:val="0"/>
                <w:sz w:val="22"/>
                <w:szCs w:val="22"/>
                <w:u w:val="none"/>
                <w:lang w:val="en-US" w:eastAsia="zh-CN" w:bidi="ar"/>
              </w:rPr>
              <w:t>27.45</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16"/>
                <w:szCs w:val="16"/>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土地补偿</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30114</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安置补助</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r>
              <w:rPr>
                <w:rFonts w:hint="eastAsia" w:ascii="宋体" w:hAnsi="宋体" w:eastAsia="宋体" w:cs="宋体"/>
                <w:b w:val="0"/>
                <w:bCs w:val="0"/>
                <w:i w:val="0"/>
                <w:iCs w:val="0"/>
                <w:color w:val="000000"/>
                <w:kern w:val="0"/>
                <w:sz w:val="22"/>
                <w:szCs w:val="22"/>
                <w:u w:val="none"/>
                <w:lang w:val="en-US" w:eastAsia="zh-CN" w:bidi="ar"/>
              </w:rPr>
              <w:t>52.39</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拆迁补偿</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离休费</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退休费</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30217</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退职（役）费</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30218</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抚恤金</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30224</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生活补助</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30225</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救济费</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30226</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ind w:left="214" w:leftChars="102"/>
              <w:jc w:val="lef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30227</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39907</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助学金</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30228</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0.99</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39908</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奖励金</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30229</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30231</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w:t>
            </w:r>
            <w:r>
              <w:rPr>
                <w:rFonts w:hint="eastAsia" w:ascii="宋体" w:hAnsi="宋体" w:cs="宋体"/>
                <w:color w:val="000000"/>
                <w:kern w:val="0"/>
                <w:sz w:val="16"/>
                <w:szCs w:val="16"/>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10.53</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39910</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30311</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30239</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39999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30399</w:t>
            </w:r>
          </w:p>
        </w:tc>
        <w:tc>
          <w:tcPr>
            <w:tcW w:w="21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30240</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val="0"/>
                <w:bCs w:val="0"/>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30299</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w:t>
            </w:r>
            <w:r>
              <w:rPr>
                <w:rFonts w:hint="eastAsia" w:ascii="宋体" w:hAnsi="宋体" w:cs="宋体"/>
                <w:color w:val="000000"/>
                <w:kern w:val="0"/>
                <w:sz w:val="16"/>
                <w:szCs w:val="16"/>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val="0"/>
                <w:bCs w:val="0"/>
                <w:color w:val="000000"/>
                <w:sz w:val="20"/>
                <w:szCs w:val="20"/>
              </w:rPr>
            </w:pPr>
            <w:r>
              <w:rPr>
                <w:rFonts w:hint="eastAsia" w:ascii="宋体" w:hAnsi="宋体" w:eastAsia="宋体" w:cs="宋体"/>
                <w:b w:val="0"/>
                <w:bCs w:val="0"/>
                <w:i w:val="0"/>
                <w:iCs w:val="0"/>
                <w:color w:val="000000"/>
                <w:kern w:val="0"/>
                <w:sz w:val="22"/>
                <w:szCs w:val="22"/>
                <w:u w:val="none"/>
                <w:lang w:val="en-US" w:eastAsia="zh-CN" w:bidi="ar"/>
              </w:rPr>
              <w:t>370.02</w:t>
            </w:r>
          </w:p>
        </w:tc>
        <w:tc>
          <w:tcPr>
            <w:tcW w:w="611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22"/>
                <w:szCs w:val="22"/>
                <w:lang w:val="en-US" w:eastAsia="zh-CN"/>
              </w:rPr>
              <w:t>18.58</w:t>
            </w:r>
          </w:p>
        </w:tc>
      </w:tr>
      <w:tr>
        <w:tblPrEx>
          <w:tblCellMar>
            <w:top w:w="15" w:type="dxa"/>
            <w:left w:w="15" w:type="dxa"/>
            <w:bottom w:w="15" w:type="dxa"/>
            <w:right w:w="15" w:type="dxa"/>
          </w:tblCellMar>
        </w:tblPrEx>
        <w:trPr>
          <w:trHeight w:val="390" w:hRule="atLeast"/>
        </w:trPr>
        <w:tc>
          <w:tcPr>
            <w:tcW w:w="15429" w:type="dxa"/>
            <w:gridSpan w:val="1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szCs w:val="24"/>
              </w:rPr>
              <w:t>注：本表反映</w:t>
            </w:r>
            <w:r>
              <w:rPr>
                <w:rFonts w:hint="eastAsia" w:ascii="宋体" w:hAnsi="宋体" w:cs="宋体"/>
                <w:color w:val="000000"/>
                <w:kern w:val="0"/>
                <w:sz w:val="24"/>
                <w:szCs w:val="24"/>
                <w:lang w:eastAsia="zh-CN"/>
              </w:rPr>
              <w:t>单位</w:t>
            </w:r>
            <w:r>
              <w:rPr>
                <w:rFonts w:hint="eastAsia" w:ascii="宋体" w:hAnsi="宋体" w:cs="宋体"/>
                <w:color w:val="000000"/>
                <w:kern w:val="0"/>
                <w:sz w:val="24"/>
                <w:szCs w:val="24"/>
              </w:rPr>
              <w:t>本年度一般公共预算财政拨款基本支出明细情况。</w:t>
            </w:r>
          </w:p>
        </w:tc>
      </w:tr>
    </w:tbl>
    <w:p>
      <w:pPr>
        <w:sectPr>
          <w:pgSz w:w="11906" w:h="16838"/>
          <w:pgMar w:top="567" w:right="567" w:bottom="567" w:left="567" w:header="851" w:footer="992" w:gutter="0"/>
          <w:cols w:space="72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cs="宋体"/>
                <w:color w:val="000000"/>
                <w:sz w:val="20"/>
                <w:szCs w:val="20"/>
              </w:rPr>
            </w:pPr>
          </w:p>
        </w:tc>
        <w:tc>
          <w:tcPr>
            <w:tcW w:w="1080" w:type="dxa"/>
            <w:shd w:val="clear" w:color="auto" w:fill="FFFFFF"/>
            <w:vAlign w:val="center"/>
          </w:tcPr>
          <w:p>
            <w:pPr>
              <w:jc w:val="center"/>
              <w:rPr>
                <w:rFonts w:ascii="宋体" w:hAnsi="宋体" w:cs="宋体"/>
                <w:color w:val="000000"/>
                <w:sz w:val="20"/>
                <w:szCs w:val="20"/>
              </w:rPr>
            </w:pPr>
          </w:p>
        </w:tc>
        <w:tc>
          <w:tcPr>
            <w:tcW w:w="1321" w:type="dxa"/>
            <w:shd w:val="clear" w:color="auto" w:fill="FFFFFF"/>
            <w:vAlign w:val="center"/>
          </w:tcPr>
          <w:p>
            <w:pPr>
              <w:jc w:val="center"/>
              <w:rPr>
                <w:rFonts w:ascii="宋体" w:hAnsi="宋体" w:cs="宋体"/>
                <w:color w:val="000000"/>
                <w:sz w:val="20"/>
                <w:szCs w:val="20"/>
              </w:rPr>
            </w:pPr>
          </w:p>
        </w:tc>
        <w:tc>
          <w:tcPr>
            <w:tcW w:w="1996" w:type="dxa"/>
            <w:shd w:val="clear" w:color="auto" w:fill="auto"/>
            <w:vAlign w:val="bottom"/>
          </w:tcPr>
          <w:p>
            <w:pPr>
              <w:rPr>
                <w:rFonts w:ascii="宋体" w:hAnsi="宋体" w:cs="宋体"/>
                <w:color w:val="000000"/>
                <w:sz w:val="24"/>
              </w:rPr>
            </w:pPr>
          </w:p>
        </w:tc>
        <w:tc>
          <w:tcPr>
            <w:tcW w:w="1080" w:type="dxa"/>
            <w:shd w:val="clear" w:color="auto" w:fill="auto"/>
            <w:vAlign w:val="bottom"/>
          </w:tcPr>
          <w:p>
            <w:pPr>
              <w:rPr>
                <w:rFonts w:ascii="宋体" w:hAnsi="宋体" w:cs="宋体"/>
                <w:color w:val="000000"/>
                <w:sz w:val="24"/>
              </w:rPr>
            </w:pPr>
          </w:p>
        </w:tc>
        <w:tc>
          <w:tcPr>
            <w:tcW w:w="1080" w:type="dxa"/>
            <w:shd w:val="clear" w:color="auto" w:fill="auto"/>
            <w:vAlign w:val="bottom"/>
          </w:tcPr>
          <w:p>
            <w:pPr>
              <w:rPr>
                <w:rFonts w:ascii="宋体" w:hAnsi="宋体" w:cs="宋体"/>
                <w:color w:val="000000"/>
                <w:sz w:val="24"/>
              </w:rPr>
            </w:pPr>
          </w:p>
        </w:tc>
        <w:tc>
          <w:tcPr>
            <w:tcW w:w="1080" w:type="dxa"/>
            <w:shd w:val="clear" w:color="auto" w:fill="auto"/>
            <w:vAlign w:val="bottom"/>
          </w:tcPr>
          <w:p>
            <w:pPr>
              <w:rPr>
                <w:rFonts w:ascii="宋体" w:hAnsi="宋体" w:cs="宋体"/>
                <w:color w:val="000000"/>
                <w:sz w:val="24"/>
              </w:rPr>
            </w:pPr>
          </w:p>
        </w:tc>
        <w:tc>
          <w:tcPr>
            <w:tcW w:w="1081" w:type="dxa"/>
            <w:shd w:val="clear" w:color="auto" w:fill="auto"/>
            <w:vAlign w:val="bottom"/>
          </w:tcPr>
          <w:p>
            <w:pPr>
              <w:rPr>
                <w:rFonts w:ascii="宋体" w:hAnsi="宋体" w:cs="宋体"/>
                <w:color w:val="000000"/>
                <w:sz w:val="24"/>
              </w:rPr>
            </w:pPr>
          </w:p>
        </w:tc>
        <w:tc>
          <w:tcPr>
            <w:tcW w:w="1077" w:type="dxa"/>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15" w:type="dxa"/>
            <w:left w:w="15" w:type="dxa"/>
            <w:bottom w:w="15" w:type="dxa"/>
            <w:right w:w="15" w:type="dxa"/>
          </w:tblCellMar>
        </w:tblPrEx>
        <w:trPr>
          <w:trHeight w:val="330" w:hRule="atLeast"/>
        </w:trPr>
        <w:tc>
          <w:tcPr>
            <w:tcW w:w="555"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w:t>
            </w:r>
          </w:p>
        </w:tc>
        <w:tc>
          <w:tcPr>
            <w:tcW w:w="4397" w:type="dxa"/>
            <w:gridSpan w:val="3"/>
            <w:shd w:val="clear" w:color="auto" w:fill="FFFFFF"/>
            <w:vAlign w:val="center"/>
          </w:tcPr>
          <w:p>
            <w:pPr>
              <w:rPr>
                <w:rFonts w:ascii="宋体" w:hAnsi="宋体" w:cs="宋体"/>
                <w:color w:val="000000"/>
                <w:sz w:val="20"/>
                <w:szCs w:val="20"/>
              </w:rPr>
            </w:pPr>
            <w:r>
              <w:rPr>
                <w:rFonts w:hint="eastAsia" w:ascii="宋体" w:hAnsi="宋体" w:cs="宋体"/>
                <w:color w:val="000000"/>
                <w:sz w:val="20"/>
                <w:szCs w:val="20"/>
                <w:lang w:val="en-US" w:eastAsia="zh-CN"/>
              </w:rPr>
              <w:t>222006保定市易县廉政教育中心</w:t>
            </w:r>
          </w:p>
        </w:tc>
        <w:tc>
          <w:tcPr>
            <w:tcW w:w="1080" w:type="dxa"/>
            <w:shd w:val="clear" w:color="auto" w:fill="FFFFFF"/>
            <w:vAlign w:val="center"/>
          </w:tcPr>
          <w:p>
            <w:pPr>
              <w:rPr>
                <w:rFonts w:ascii="宋体" w:hAnsi="宋体" w:cs="宋体"/>
                <w:color w:val="000000"/>
                <w:sz w:val="20"/>
                <w:szCs w:val="20"/>
              </w:rPr>
            </w:pPr>
            <w:r>
              <w:rPr>
                <w:rFonts w:hint="eastAsia" w:ascii="宋体" w:hAnsi="宋体" w:cs="宋体"/>
                <w:color w:val="000000"/>
                <w:sz w:val="20"/>
                <w:szCs w:val="20"/>
              </w:rPr>
              <w:t>2022年度</w:t>
            </w:r>
          </w:p>
        </w:tc>
        <w:tc>
          <w:tcPr>
            <w:tcW w:w="1080" w:type="dxa"/>
            <w:shd w:val="clear" w:color="auto" w:fill="FFFFFF"/>
            <w:vAlign w:val="center"/>
          </w:tcPr>
          <w:p>
            <w:pPr>
              <w:rPr>
                <w:rFonts w:ascii="宋体" w:hAnsi="宋体" w:cs="宋体"/>
                <w:color w:val="000000"/>
                <w:sz w:val="20"/>
                <w:szCs w:val="20"/>
              </w:rPr>
            </w:pPr>
          </w:p>
        </w:tc>
        <w:tc>
          <w:tcPr>
            <w:tcW w:w="1080" w:type="dxa"/>
            <w:shd w:val="clear" w:color="auto" w:fill="FFFFFF"/>
            <w:vAlign w:val="center"/>
          </w:tcPr>
          <w:p>
            <w:pPr>
              <w:rPr>
                <w:rFonts w:ascii="宋体" w:hAnsi="宋体" w:cs="宋体"/>
                <w:color w:val="000000"/>
                <w:sz w:val="20"/>
                <w:szCs w:val="20"/>
              </w:rPr>
            </w:pPr>
          </w:p>
        </w:tc>
        <w:tc>
          <w:tcPr>
            <w:tcW w:w="1081" w:type="dxa"/>
            <w:shd w:val="clear" w:color="auto" w:fill="FFFFFF"/>
            <w:vAlign w:val="center"/>
          </w:tcPr>
          <w:p>
            <w:pPr>
              <w:rPr>
                <w:rFonts w:ascii="宋体" w:hAnsi="宋体" w:cs="宋体"/>
                <w:color w:val="000000"/>
                <w:sz w:val="20"/>
                <w:szCs w:val="20"/>
              </w:rPr>
            </w:pPr>
          </w:p>
        </w:tc>
        <w:tc>
          <w:tcPr>
            <w:tcW w:w="1077" w:type="dxa"/>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 xml:space="preserve">项 </w:t>
            </w:r>
            <w:r>
              <w:rPr>
                <w:rFonts w:hint="eastAsia" w:ascii="宋体" w:hAnsi="宋体" w:cs="宋体"/>
                <w:color w:val="000000"/>
                <w:kern w:val="0"/>
                <w:sz w:val="22"/>
              </w:rPr>
              <w:t xml:space="preserve">   </w:t>
            </w:r>
            <w:r>
              <w:rPr>
                <w:rStyle w:val="15"/>
                <w:rFonts w:hint="default"/>
              </w:rPr>
              <w:t>目</w:t>
            </w:r>
          </w:p>
        </w:tc>
        <w:tc>
          <w:tcPr>
            <w:tcW w:w="19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本年收入</w:t>
            </w:r>
          </w:p>
        </w:tc>
        <w:tc>
          <w:tcPr>
            <w:tcW w:w="32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小计</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栏次</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4</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5</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合计</w:t>
            </w: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vAlign w:val="center"/>
          </w:tcPr>
          <w:p>
            <w:pPr>
              <w:rPr>
                <w:b/>
              </w:rPr>
            </w:pPr>
            <w:r>
              <w:rPr>
                <w:rFonts w:hint="eastAsia" w:ascii="宋体" w:hAnsi="宋体" w:cs="宋体"/>
                <w:color w:val="000000"/>
                <w:kern w:val="0"/>
                <w:sz w:val="24"/>
                <w:szCs w:val="24"/>
              </w:rPr>
              <w:t>注：本表反映</w:t>
            </w:r>
            <w:r>
              <w:rPr>
                <w:rFonts w:hint="eastAsia" w:ascii="宋体" w:hAnsi="宋体" w:cs="宋体"/>
                <w:color w:val="000000"/>
                <w:kern w:val="0"/>
                <w:sz w:val="24"/>
                <w:szCs w:val="24"/>
                <w:lang w:eastAsia="zh-CN"/>
              </w:rPr>
              <w:t>单位</w:t>
            </w:r>
            <w:r>
              <w:rPr>
                <w:rFonts w:hint="eastAsia" w:ascii="宋体" w:hAnsi="宋体" w:cs="宋体"/>
                <w:color w:val="000000"/>
                <w:kern w:val="0"/>
                <w:sz w:val="24"/>
                <w:szCs w:val="24"/>
              </w:rPr>
              <w:t>本年度政府性基金预算财政拨款收入、支出及结转和结余情况。</w:t>
            </w:r>
          </w:p>
          <w:p>
            <w:pPr>
              <w:widowControl/>
              <w:jc w:val="left"/>
              <w:textAlignment w:val="center"/>
              <w:rPr>
                <w:rFonts w:ascii="宋体" w:hAnsi="宋体" w:cs="宋体"/>
                <w:color w:val="000000"/>
                <w:sz w:val="24"/>
              </w:rPr>
            </w:pPr>
          </w:p>
        </w:tc>
      </w:tr>
    </w:tbl>
    <w:p>
      <w:pPr>
        <w:sectPr>
          <w:pgSz w:w="11906" w:h="16838"/>
          <w:pgMar w:top="567" w:right="567" w:bottom="567" w:left="567" w:header="851" w:footer="992" w:gutter="0"/>
          <w:cols w:space="72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cs="宋体"/>
                <w:color w:val="000000"/>
                <w:sz w:val="20"/>
                <w:szCs w:val="20"/>
              </w:rPr>
            </w:pPr>
          </w:p>
        </w:tc>
        <w:tc>
          <w:tcPr>
            <w:tcW w:w="995" w:type="dxa"/>
            <w:gridSpan w:val="2"/>
            <w:shd w:val="clear" w:color="auto" w:fill="FFFFFF"/>
            <w:vAlign w:val="center"/>
          </w:tcPr>
          <w:p>
            <w:pPr>
              <w:jc w:val="center"/>
              <w:rPr>
                <w:rFonts w:ascii="宋体" w:hAnsi="宋体" w:cs="宋体"/>
                <w:color w:val="000000"/>
                <w:sz w:val="20"/>
                <w:szCs w:val="20"/>
              </w:rPr>
            </w:pPr>
          </w:p>
        </w:tc>
        <w:tc>
          <w:tcPr>
            <w:tcW w:w="1056" w:type="dxa"/>
            <w:shd w:val="clear" w:color="auto" w:fill="FFFFFF"/>
            <w:vAlign w:val="center"/>
          </w:tcPr>
          <w:p>
            <w:pPr>
              <w:jc w:val="center"/>
              <w:rPr>
                <w:rFonts w:ascii="宋体" w:hAnsi="宋体" w:cs="宋体"/>
                <w:color w:val="000000"/>
                <w:sz w:val="20"/>
                <w:szCs w:val="20"/>
              </w:rPr>
            </w:pPr>
          </w:p>
        </w:tc>
        <w:tc>
          <w:tcPr>
            <w:tcW w:w="3181" w:type="dxa"/>
            <w:gridSpan w:val="2"/>
            <w:shd w:val="clear" w:color="auto" w:fill="FFFFFF"/>
            <w:vAlign w:val="center"/>
          </w:tcPr>
          <w:p>
            <w:pPr>
              <w:rPr>
                <w:rFonts w:ascii="宋体" w:hAnsi="宋体" w:cs="宋体"/>
                <w:color w:val="000000"/>
                <w:sz w:val="20"/>
                <w:szCs w:val="20"/>
              </w:rPr>
            </w:pPr>
          </w:p>
        </w:tc>
        <w:tc>
          <w:tcPr>
            <w:tcW w:w="1036" w:type="dxa"/>
            <w:shd w:val="clear" w:color="auto" w:fill="FFFFFF"/>
            <w:vAlign w:val="center"/>
          </w:tcPr>
          <w:p>
            <w:pPr>
              <w:rPr>
                <w:rFonts w:ascii="宋体" w:hAnsi="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15" w:type="dxa"/>
            <w:left w:w="15" w:type="dxa"/>
            <w:bottom w:w="15" w:type="dxa"/>
            <w:right w:w="15" w:type="dxa"/>
          </w:tblCellMar>
        </w:tblPrEx>
        <w:trPr>
          <w:trHeight w:val="286" w:hRule="atLeast"/>
        </w:trPr>
        <w:tc>
          <w:tcPr>
            <w:tcW w:w="3067" w:type="dxa"/>
            <w:gridSpan w:val="4"/>
            <w:shd w:val="clear" w:color="auto" w:fill="FFFFFF"/>
            <w:vAlign w:val="center"/>
          </w:tcPr>
          <w:p>
            <w:pPr>
              <w:jc w:val="center"/>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222006易县廉政教育中心</w:t>
            </w:r>
          </w:p>
        </w:tc>
        <w:tc>
          <w:tcPr>
            <w:tcW w:w="3181" w:type="dxa"/>
            <w:gridSpan w:val="2"/>
            <w:shd w:val="clear" w:color="auto" w:fill="FFFFFF"/>
            <w:vAlign w:val="center"/>
          </w:tcPr>
          <w:p>
            <w:pPr>
              <w:ind w:firstLine="1800" w:firstLineChars="900"/>
              <w:rPr>
                <w:rFonts w:ascii="宋体" w:hAnsi="宋体" w:cs="宋体"/>
                <w:color w:val="000000"/>
                <w:sz w:val="20"/>
                <w:szCs w:val="20"/>
              </w:rPr>
            </w:pPr>
            <w:r>
              <w:rPr>
                <w:rFonts w:hint="eastAsia" w:ascii="宋体" w:hAnsi="宋体" w:cs="宋体"/>
                <w:color w:val="000000"/>
                <w:sz w:val="20"/>
                <w:szCs w:val="20"/>
              </w:rPr>
              <w:t>2022年度</w:t>
            </w:r>
          </w:p>
        </w:tc>
        <w:tc>
          <w:tcPr>
            <w:tcW w:w="1036" w:type="dxa"/>
            <w:shd w:val="clear" w:color="auto" w:fill="FFFFFF"/>
            <w:vAlign w:val="center"/>
          </w:tcPr>
          <w:p>
            <w:pPr>
              <w:rPr>
                <w:rFonts w:ascii="宋体" w:hAnsi="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 xml:space="preserve">项 </w:t>
            </w:r>
            <w:r>
              <w:rPr>
                <w:rFonts w:hint="eastAsia" w:ascii="宋体" w:hAnsi="宋体" w:cs="宋体"/>
                <w:color w:val="000000"/>
                <w:kern w:val="0"/>
                <w:sz w:val="22"/>
              </w:rPr>
              <w:t xml:space="preserve">   </w:t>
            </w:r>
            <w:r>
              <w:rPr>
                <w:rFonts w:hint="eastAsia" w:ascii="宋体" w:hAnsi="宋体" w:cs="宋体"/>
                <w:color w:val="000000"/>
                <w:kern w:val="0"/>
                <w:sz w:val="24"/>
                <w:szCs w:val="24"/>
              </w:rPr>
              <w:t>目</w:t>
            </w:r>
          </w:p>
        </w:tc>
        <w:tc>
          <w:tcPr>
            <w:tcW w:w="73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栏次</w:t>
            </w:r>
          </w:p>
        </w:tc>
        <w:tc>
          <w:tcPr>
            <w:tcW w:w="2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1</w:t>
            </w: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2</w:t>
            </w:r>
          </w:p>
        </w:tc>
        <w:tc>
          <w:tcPr>
            <w:tcW w:w="21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rPr>
              <w:t>合计</w:t>
            </w:r>
          </w:p>
        </w:tc>
        <w:tc>
          <w:tcPr>
            <w:tcW w:w="2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vAlign w:val="center"/>
          </w:tcPr>
          <w:p>
            <w:pPr>
              <w:rPr>
                <w:b/>
              </w:rPr>
            </w:pPr>
            <w:r>
              <w:rPr>
                <w:rFonts w:hint="eastAsia" w:ascii="宋体" w:hAnsi="宋体" w:cs="宋体"/>
                <w:color w:val="000000"/>
                <w:kern w:val="0"/>
                <w:sz w:val="24"/>
                <w:szCs w:val="24"/>
              </w:rPr>
              <w:t>注：本表反映</w:t>
            </w:r>
            <w:r>
              <w:rPr>
                <w:rFonts w:hint="eastAsia" w:ascii="宋体" w:hAnsi="宋体" w:cs="宋体"/>
                <w:color w:val="000000"/>
                <w:kern w:val="0"/>
                <w:sz w:val="24"/>
                <w:szCs w:val="24"/>
                <w:lang w:eastAsia="zh-CN"/>
              </w:rPr>
              <w:t>单位</w:t>
            </w:r>
            <w:r>
              <w:rPr>
                <w:rFonts w:hint="eastAsia" w:ascii="宋体" w:hAnsi="宋体" w:cs="宋体"/>
                <w:color w:val="000000"/>
                <w:kern w:val="0"/>
                <w:sz w:val="24"/>
                <w:szCs w:val="24"/>
              </w:rPr>
              <w:t>本年度国有资本经营预算财政拨款支出情况。</w:t>
            </w:r>
          </w:p>
          <w:p>
            <w:pPr>
              <w:widowControl/>
              <w:jc w:val="left"/>
              <w:textAlignment w:val="center"/>
              <w:rPr>
                <w:rFonts w:ascii="宋体" w:hAnsi="宋体" w:cs="宋体"/>
                <w:color w:val="000000"/>
                <w:sz w:val="24"/>
              </w:rPr>
            </w:pPr>
          </w:p>
        </w:tc>
      </w:tr>
    </w:tbl>
    <w:p>
      <w:pPr>
        <w:sectPr>
          <w:pgSz w:w="11906" w:h="16838"/>
          <w:pgMar w:top="567" w:right="567" w:bottom="567" w:left="567" w:header="851" w:footer="992" w:gutter="0"/>
          <w:cols w:space="72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cs="宋体"/>
                <w:color w:val="000000"/>
                <w:sz w:val="24"/>
              </w:rPr>
            </w:pPr>
          </w:p>
        </w:tc>
        <w:tc>
          <w:tcPr>
            <w:tcW w:w="1068" w:type="dxa"/>
            <w:gridSpan w:val="2"/>
            <w:shd w:val="clear" w:color="auto" w:fill="auto"/>
            <w:vAlign w:val="center"/>
          </w:tcPr>
          <w:p>
            <w:pPr>
              <w:jc w:val="center"/>
              <w:rPr>
                <w:rFonts w:ascii="宋体" w:hAnsi="宋体" w:cs="宋体"/>
                <w:color w:val="000000"/>
                <w:sz w:val="24"/>
              </w:rPr>
            </w:pPr>
          </w:p>
        </w:tc>
        <w:tc>
          <w:tcPr>
            <w:tcW w:w="1055" w:type="dxa"/>
            <w:gridSpan w:val="3"/>
            <w:shd w:val="clear" w:color="auto" w:fill="auto"/>
            <w:vAlign w:val="center"/>
          </w:tcPr>
          <w:p>
            <w:pPr>
              <w:jc w:val="center"/>
              <w:rPr>
                <w:rFonts w:ascii="宋体" w:hAnsi="宋体" w:cs="宋体"/>
                <w:color w:val="000000"/>
                <w:sz w:val="24"/>
              </w:rPr>
            </w:pPr>
          </w:p>
        </w:tc>
        <w:tc>
          <w:tcPr>
            <w:tcW w:w="1055" w:type="dxa"/>
            <w:gridSpan w:val="2"/>
            <w:shd w:val="clear" w:color="auto" w:fill="auto"/>
            <w:vAlign w:val="center"/>
          </w:tcPr>
          <w:p>
            <w:pPr>
              <w:rPr>
                <w:rFonts w:ascii="宋体" w:hAnsi="宋体" w:cs="宋体"/>
                <w:color w:val="000000"/>
                <w:sz w:val="24"/>
              </w:rPr>
            </w:pPr>
          </w:p>
        </w:tc>
        <w:tc>
          <w:tcPr>
            <w:tcW w:w="1056" w:type="dxa"/>
            <w:shd w:val="clear" w:color="auto" w:fill="auto"/>
            <w:vAlign w:val="center"/>
          </w:tcPr>
          <w:p>
            <w:pPr>
              <w:rPr>
                <w:rFonts w:ascii="宋体" w:hAnsi="宋体" w:cs="宋体"/>
                <w:color w:val="000000"/>
                <w:sz w:val="24"/>
              </w:rPr>
            </w:pPr>
          </w:p>
        </w:tc>
        <w:tc>
          <w:tcPr>
            <w:tcW w:w="240" w:type="dxa"/>
            <w:shd w:val="clear" w:color="auto" w:fill="auto"/>
            <w:vAlign w:val="center"/>
          </w:tcPr>
          <w:p>
            <w:pPr>
              <w:widowControl/>
              <w:jc w:val="right"/>
              <w:textAlignment w:val="center"/>
              <w:rPr>
                <w:rFonts w:ascii="宋体" w:hAnsi="宋体" w:cs="宋体"/>
                <w:color w:val="000000"/>
                <w:sz w:val="24"/>
              </w:rPr>
            </w:pPr>
          </w:p>
        </w:tc>
        <w:tc>
          <w:tcPr>
            <w:tcW w:w="2000" w:type="dxa"/>
            <w:gridSpan w:val="3"/>
            <w:shd w:val="clear" w:color="auto" w:fill="auto"/>
            <w:vAlign w:val="bottom"/>
          </w:tcPr>
          <w:p>
            <w:pPr>
              <w:jc w:val="right"/>
              <w:rPr>
                <w:rFonts w:ascii="宋体" w:hAnsi="宋体" w:cs="宋体"/>
                <w:color w:val="000000"/>
                <w:sz w:val="24"/>
              </w:rPr>
            </w:pPr>
          </w:p>
        </w:tc>
        <w:tc>
          <w:tcPr>
            <w:tcW w:w="1068" w:type="dxa"/>
            <w:gridSpan w:val="3"/>
            <w:shd w:val="clear" w:color="auto" w:fill="auto"/>
            <w:vAlign w:val="bottom"/>
          </w:tcPr>
          <w:p>
            <w:pPr>
              <w:wordWrap w:val="0"/>
              <w:jc w:val="right"/>
              <w:rPr>
                <w:rFonts w:ascii="宋体" w:hAnsi="宋体" w:cs="宋体"/>
                <w:color w:val="000000"/>
                <w:sz w:val="24"/>
              </w:rPr>
            </w:pPr>
            <w:r>
              <w:rPr>
                <w:rFonts w:hint="eastAsia" w:ascii="宋体" w:hAnsi="宋体" w:cs="宋体"/>
                <w:color w:val="000000"/>
                <w:sz w:val="24"/>
                <w:szCs w:val="24"/>
              </w:rPr>
              <w:t xml:space="preserve">    </w:t>
            </w:r>
          </w:p>
        </w:tc>
        <w:tc>
          <w:tcPr>
            <w:tcW w:w="1055" w:type="dxa"/>
            <w:gridSpan w:val="2"/>
            <w:shd w:val="clear" w:color="auto" w:fill="auto"/>
            <w:vAlign w:val="bottom"/>
          </w:tcPr>
          <w:p>
            <w:pPr>
              <w:jc w:val="right"/>
              <w:rPr>
                <w:rFonts w:ascii="宋体" w:hAnsi="宋体" w:cs="宋体"/>
                <w:color w:val="000000"/>
                <w:sz w:val="24"/>
              </w:rPr>
            </w:pPr>
          </w:p>
        </w:tc>
        <w:tc>
          <w:tcPr>
            <w:tcW w:w="1055" w:type="dxa"/>
            <w:gridSpan w:val="2"/>
            <w:shd w:val="clear" w:color="auto" w:fill="auto"/>
            <w:vAlign w:val="bottom"/>
          </w:tcPr>
          <w:p>
            <w:pPr>
              <w:jc w:val="left"/>
              <w:rPr>
                <w:rFonts w:ascii="宋体" w:hAnsi="宋体" w:cs="宋体"/>
                <w:color w:val="000000"/>
                <w:sz w:val="24"/>
              </w:rPr>
            </w:pPr>
            <w:r>
              <w:rPr>
                <w:rFonts w:hint="eastAsia" w:ascii="宋体" w:hAnsi="宋体" w:cs="宋体"/>
                <w:color w:val="000000"/>
                <w:szCs w:val="21"/>
              </w:rPr>
              <w:t>公开09表</w:t>
            </w:r>
          </w:p>
        </w:tc>
        <w:tc>
          <w:tcPr>
            <w:tcW w:w="240" w:type="dxa"/>
            <w:shd w:val="clear" w:color="auto" w:fill="auto"/>
            <w:vAlign w:val="bottom"/>
          </w:tcPr>
          <w:p>
            <w:pPr>
              <w:rPr>
                <w:rFonts w:ascii="宋体" w:hAnsi="宋体" w:cs="宋体"/>
                <w:color w:val="000000"/>
                <w:sz w:val="24"/>
              </w:rPr>
            </w:pPr>
          </w:p>
        </w:tc>
        <w:tc>
          <w:tcPr>
            <w:tcW w:w="240" w:type="dxa"/>
            <w:shd w:val="clear" w:color="auto" w:fill="FFFFFF"/>
            <w:vAlign w:val="center"/>
          </w:tcPr>
          <w:p>
            <w:pPr>
              <w:widowControl/>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3314" w:type="dxa"/>
            <w:gridSpan w:val="7"/>
            <w:shd w:val="clear" w:color="auto" w:fill="FFFFFF"/>
            <w:vAlign w:val="center"/>
          </w:tcPr>
          <w:p>
            <w:pPr>
              <w:jc w:val="center"/>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222006易县廉政教育中心</w:t>
            </w:r>
          </w:p>
        </w:tc>
        <w:tc>
          <w:tcPr>
            <w:tcW w:w="1055" w:type="dxa"/>
            <w:gridSpan w:val="2"/>
            <w:shd w:val="clear" w:color="auto" w:fill="FFFFFF"/>
            <w:vAlign w:val="center"/>
          </w:tcPr>
          <w:p>
            <w:pPr>
              <w:jc w:val="right"/>
              <w:rPr>
                <w:rFonts w:ascii="宋体" w:hAnsi="宋体" w:cs="宋体"/>
                <w:color w:val="000000"/>
                <w:sz w:val="20"/>
                <w:szCs w:val="20"/>
              </w:rPr>
            </w:pPr>
          </w:p>
        </w:tc>
        <w:tc>
          <w:tcPr>
            <w:tcW w:w="1056" w:type="dxa"/>
            <w:shd w:val="clear" w:color="auto" w:fill="FFFFFF"/>
            <w:vAlign w:val="center"/>
          </w:tcPr>
          <w:p>
            <w:pPr>
              <w:rPr>
                <w:rFonts w:ascii="宋体" w:hAnsi="宋体" w:cs="宋体"/>
                <w:color w:val="000000"/>
                <w:sz w:val="20"/>
                <w:szCs w:val="20"/>
              </w:rPr>
            </w:pPr>
            <w:r>
              <w:rPr>
                <w:rFonts w:hint="eastAsia" w:ascii="宋体" w:hAnsi="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cs="宋体"/>
                <w:color w:val="000000"/>
                <w:sz w:val="20"/>
                <w:szCs w:val="20"/>
              </w:rPr>
            </w:pPr>
            <w:r>
              <w:rPr>
                <w:rFonts w:hint="eastAsia" w:ascii="宋体" w:hAnsi="宋体" w:cs="宋体"/>
                <w:color w:val="000000"/>
                <w:sz w:val="20"/>
                <w:szCs w:val="20"/>
              </w:rPr>
              <w:t xml:space="preserve">                                        </w:t>
            </w:r>
            <w:r>
              <w:rPr>
                <w:rFonts w:hint="eastAsia" w:ascii="宋体" w:hAnsi="宋体" w:cs="宋体"/>
                <w:color w:val="000000"/>
                <w:kern w:val="0"/>
                <w:sz w:val="20"/>
                <w:szCs w:val="20"/>
              </w:rPr>
              <w:t>单位：万元</w:t>
            </w:r>
          </w:p>
        </w:tc>
        <w:tc>
          <w:tcPr>
            <w:tcW w:w="240" w:type="dxa"/>
            <w:shd w:val="clear" w:color="auto" w:fill="FFFFFF"/>
            <w:vAlign w:val="center"/>
          </w:tcPr>
          <w:p>
            <w:pPr>
              <w:widowControl/>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预算数</w:t>
            </w:r>
          </w:p>
        </w:tc>
        <w:tc>
          <w:tcPr>
            <w:tcW w:w="5062"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7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cs="宋体"/>
                <w:color w:val="000000"/>
                <w:kern w:val="0"/>
                <w:sz w:val="22"/>
              </w:rPr>
              <w:t>公务用车</w:t>
            </w:r>
          </w:p>
          <w:p>
            <w:pPr>
              <w:widowControl/>
              <w:jc w:val="center"/>
              <w:textAlignment w:val="center"/>
              <w:rPr>
                <w:rFonts w:ascii="宋体" w:hAnsi="宋体" w:cs="宋体"/>
                <w:color w:val="000000"/>
                <w:sz w:val="22"/>
              </w:rPr>
            </w:pPr>
            <w:r>
              <w:rPr>
                <w:rFonts w:hint="eastAsia" w:ascii="宋体" w:hAnsi="宋体" w:cs="宋体"/>
                <w:color w:val="000000"/>
                <w:kern w:val="0"/>
                <w:sz w:val="22"/>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7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13.5</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13.5</w:t>
            </w:r>
          </w:p>
        </w:tc>
        <w:tc>
          <w:tcPr>
            <w:tcW w:w="8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13.5</w:t>
            </w: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10.53</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10.53</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10.53</w:t>
            </w: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vAlign w:val="center"/>
          </w:tcPr>
          <w:p>
            <w:pPr>
              <w:widowControl/>
              <w:ind w:right="2339" w:rightChars="1114"/>
              <w:jc w:val="left"/>
              <w:textAlignment w:val="center"/>
              <w:rPr>
                <w:rFonts w:ascii="宋体" w:hAnsi="宋体" w:cs="宋体"/>
                <w:color w:val="000000"/>
                <w:sz w:val="24"/>
              </w:rPr>
            </w:pPr>
            <w:r>
              <w:rPr>
                <w:rFonts w:hint="eastAsia" w:ascii="宋体" w:hAnsi="宋体" w:cs="宋体"/>
                <w:color w:val="000000"/>
                <w:kern w:val="0"/>
                <w:sz w:val="24"/>
                <w:szCs w:val="24"/>
              </w:rPr>
              <w:t>注：本表反映</w:t>
            </w:r>
            <w:r>
              <w:rPr>
                <w:rFonts w:hint="eastAsia" w:ascii="宋体" w:hAnsi="宋体" w:cs="宋体"/>
                <w:color w:val="000000"/>
                <w:kern w:val="0"/>
                <w:sz w:val="24"/>
                <w:szCs w:val="24"/>
                <w:lang w:eastAsia="zh-CN"/>
              </w:rPr>
              <w:t>单位</w:t>
            </w:r>
            <w:r>
              <w:rPr>
                <w:rFonts w:hint="eastAsia" w:ascii="宋体" w:hAnsi="宋体" w:cs="宋体"/>
                <w:color w:val="000000"/>
                <w:kern w:val="0"/>
                <w:sz w:val="24"/>
                <w:szCs w:val="24"/>
              </w:rPr>
              <w:t>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9" name="文本框 151"/>
                <wp:cNvGraphicFramePr/>
                <a:graphic xmlns:a="http://schemas.openxmlformats.org/drawingml/2006/main">
                  <a:graphicData uri="http://schemas.microsoft.com/office/word/2010/wordprocessingShape">
                    <wps:wsp>
                      <wps:cNvSpPr/>
                      <wps:spPr>
                        <a:xfrm>
                          <a:off x="0" y="0"/>
                          <a:ext cx="7793355" cy="2200275"/>
                        </a:xfrm>
                        <a:prstGeom prst="rect">
                          <a:avLst/>
                        </a:prstGeom>
                        <a:noFill/>
                        <a:ln>
                          <a:noFill/>
                        </a:ln>
                      </wps:spPr>
                      <wps:txbx>
                        <w:txbxContent>
                          <w:p>
                            <w:pPr>
                              <w:widowControl/>
                              <w:jc w:val="center"/>
                              <w:rPr>
                                <w:rFonts w:ascii="黑体" w:hAnsi="黑体" w:eastAsia="黑体"/>
                                <w:color w:val="000000"/>
                                <w:sz w:val="96"/>
                                <w:szCs w:val="96"/>
                              </w:rPr>
                            </w:pPr>
                            <w:r>
                              <w:rPr>
                                <w:rFonts w:hint="eastAsia" w:ascii="黑体" w:hAnsi="黑体" w:eastAsia="黑体"/>
                                <w:color w:val="000000"/>
                                <w:sz w:val="96"/>
                                <w:szCs w:val="96"/>
                              </w:rPr>
                              <w:t xml:space="preserve"> </w:t>
                            </w:r>
                          </w:p>
                          <w:p>
                            <w:pPr>
                              <w:widowControl/>
                              <w:jc w:val="center"/>
                              <w:rPr>
                                <w:rFonts w:ascii="黑体" w:hAnsi="黑体" w:eastAsia="黑体"/>
                                <w:color w:val="000000"/>
                                <w:sz w:val="96"/>
                                <w:szCs w:val="96"/>
                              </w:rPr>
                            </w:pPr>
                          </w:p>
                        </w:txbxContent>
                      </wps:txbx>
                      <wps:bodyPr upright="1"/>
                    </wps:wsp>
                  </a:graphicData>
                </a:graphic>
              </wp:anchor>
            </w:drawing>
          </mc:Choice>
          <mc:Fallback>
            <w:pict>
              <v:rect id="文本框 151" o:spid="_x0000_s1026" o:spt="1" style="position:absolute;left:0pt;margin-left:-85.7pt;margin-top:238.15pt;height:173.25pt;width:613.65pt;z-index:251668480;mso-width-relative:page;mso-height-relative:page;" filled="f" stroked="f" coordsize="21600,21600" o:gfxdata="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i7G&#10;Ed4AAAANAQAADwAAAAAAAAABACAAAAAiAAAAZHJzL2Rvd25yZXYueG1sUEsBAhQAFAAAAAgAh07i&#10;QLHLB9eqAQAASAMAAA4AAAAAAAAAAQAgAAAALQEAAGRycy9lMm9Eb2MueG1sUEsFBgAAAAAGAAYA&#10;WQEAAEkFAAAAAA==&#10;">
                <v:fill on="f" focussize="0,0"/>
                <v:stroke on="f"/>
                <v:imagedata o:title=""/>
                <o:lock v:ext="edit" aspectratio="f"/>
                <v:textbox>
                  <w:txbxContent>
                    <w:p>
                      <w:pPr>
                        <w:widowControl/>
                        <w:jc w:val="center"/>
                        <w:rPr>
                          <w:rFonts w:ascii="黑体" w:hAnsi="黑体" w:eastAsia="黑体"/>
                          <w:color w:val="000000"/>
                          <w:sz w:val="96"/>
                          <w:szCs w:val="96"/>
                        </w:rPr>
                      </w:pPr>
                      <w:r>
                        <w:rPr>
                          <w:rFonts w:hint="eastAsia" w:ascii="黑体" w:hAnsi="黑体" w:eastAsia="黑体"/>
                          <w:color w:val="000000"/>
                          <w:sz w:val="96"/>
                          <w:szCs w:val="96"/>
                        </w:rPr>
                        <w:t xml:space="preserve"> </w:t>
                      </w:r>
                    </w:p>
                    <w:p>
                      <w:pPr>
                        <w:widowControl/>
                        <w:jc w:val="center"/>
                        <w:rPr>
                          <w:rFonts w:ascii="黑体" w:hAnsi="黑体" w:eastAsia="黑体"/>
                          <w:color w:val="000000"/>
                          <w:sz w:val="96"/>
                          <w:szCs w:val="96"/>
                        </w:rPr>
                      </w:pPr>
                    </w:p>
                  </w:txbxContent>
                </v:textbox>
              </v:rect>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olor w:val="000000"/>
          <w:sz w:val="44"/>
          <w:szCs w:val="44"/>
        </w:rPr>
      </w:pPr>
      <w:r>
        <w:rPr>
          <w:rFonts w:hint="eastAsia" w:ascii="黑体" w:hAnsi="黑体" w:eastAsia="黑体"/>
          <w:color w:val="000000"/>
          <w:sz w:val="44"/>
          <w:szCs w:val="44"/>
        </w:rPr>
        <w:t xml:space="preserve">    </w:t>
      </w: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r>
        <w:rPr>
          <w:rFonts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19050" t="0" r="6350" b="0"/>
            <wp:wrapNone/>
            <wp:docPr id="20"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4"/>
                    <pic:cNvPicPr>
                      <a:picLocks noChangeAspect="1" noChangeArrowheads="1"/>
                    </pic:cNvPicPr>
                  </pic:nvPicPr>
                  <pic:blipFill>
                    <a:blip r:embed="rId15" cstate="print"/>
                    <a:srcRect/>
                    <a:stretch>
                      <a:fillRect/>
                    </a:stretch>
                  </pic:blipFill>
                  <pic:spPr>
                    <a:xfrm>
                      <a:off x="0" y="0"/>
                      <a:ext cx="660400" cy="660400"/>
                    </a:xfrm>
                    <a:prstGeom prst="rect">
                      <a:avLst/>
                    </a:prstGeom>
                    <a:noFill/>
                    <a:ln w="9525">
                      <a:noFill/>
                      <a:miter lim="800000"/>
                      <a:headEnd/>
                      <a:tailEnd/>
                    </a:ln>
                  </pic:spPr>
                </pic:pic>
              </a:graphicData>
            </a:graphic>
          </wp:anchor>
        </w:drawing>
      </w:r>
    </w:p>
    <w:p>
      <w:pPr>
        <w:widowControl/>
        <w:jc w:val="center"/>
        <w:rPr>
          <w:rFonts w:ascii="黑体" w:hAnsi="黑体" w:eastAsia="黑体"/>
          <w:color w:val="000000"/>
          <w:sz w:val="44"/>
          <w:szCs w:val="44"/>
        </w:rPr>
      </w:pPr>
      <w:r>
        <w:rPr>
          <w:rFonts w:hint="eastAsia" w:ascii="黑体" w:hAnsi="黑体" w:eastAsia="黑体"/>
          <w:color w:val="000000"/>
          <w:sz w:val="44"/>
          <w:szCs w:val="44"/>
        </w:rPr>
        <w:t>第三部分 2022年度</w:t>
      </w:r>
      <w:r>
        <w:rPr>
          <w:rFonts w:hint="eastAsia" w:ascii="黑体" w:hAnsi="黑体" w:eastAsia="黑体"/>
          <w:color w:val="000000"/>
          <w:sz w:val="44"/>
          <w:szCs w:val="44"/>
          <w:lang w:val="en-US" w:eastAsia="zh-CN"/>
        </w:rPr>
        <w:t>单位</w:t>
      </w:r>
      <w:r>
        <w:rPr>
          <w:rFonts w:hint="eastAsia" w:ascii="黑体" w:hAnsi="黑体" w:eastAsia="黑体"/>
          <w:color w:val="000000"/>
          <w:sz w:val="44"/>
          <w:szCs w:val="44"/>
        </w:rPr>
        <w:t>决算情况说明</w:t>
      </w:r>
    </w:p>
    <w:p>
      <w:pPr>
        <w:rPr>
          <w:rFonts w:ascii="黑体" w:eastAsia="黑体" w:cs="Times New Roman"/>
          <w:sz w:val="32"/>
          <w:szCs w:val="32"/>
        </w:rPr>
      </w:pPr>
      <w:r>
        <w:rPr>
          <w:rFonts w:hint="eastAsia" w:ascii="黑体" w:hAnsi="黑体" w:eastAsia="黑体"/>
          <w:color w:val="000000"/>
          <w:sz w:val="44"/>
          <w:szCs w:val="44"/>
        </w:rPr>
        <w:br w:type="page"/>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一、收入</w:t>
      </w:r>
      <w:r>
        <w:rPr>
          <w:rFonts w:hint="eastAsia" w:ascii="黑体" w:hAnsi="Cambria" w:eastAsia="黑体"/>
          <w:kern w:val="0"/>
          <w:sz w:val="32"/>
          <w:szCs w:val="32"/>
        </w:rPr>
        <w:t>支出</w:t>
      </w:r>
      <w:r>
        <w:rPr>
          <w:rFonts w:hint="eastAsia" w:ascii="黑体"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2022年度收、支总计（含结转和结余）2163.97万元。与2021年度决算相比，收支各增加</w:t>
      </w:r>
      <w:r>
        <w:rPr>
          <w:rFonts w:hint="eastAsia" w:ascii="仿宋_GB2312" w:hAnsi="Times New Roman" w:eastAsia="仿宋_GB2312" w:cs="DengXian-Regular"/>
          <w:sz w:val="32"/>
          <w:szCs w:val="32"/>
          <w:lang w:val="en-US" w:eastAsia="zh-CN"/>
        </w:rPr>
        <w:t>1472.01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212.7</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本单位2022年留置任务增多</w:t>
      </w:r>
      <w:r>
        <w:rPr>
          <w:rFonts w:hint="eastAsia" w:ascii="仿宋_GB2312" w:hAnsi="Times New Roman" w:eastAsia="仿宋_GB2312" w:cs="DengXian-Regular"/>
          <w:sz w:val="32"/>
          <w:szCs w:val="32"/>
        </w:rPr>
        <w:t>。</w:t>
      </w:r>
    </w:p>
    <w:p>
      <w:pPr>
        <w:adjustRightInd w:val="0"/>
        <w:snapToGrid w:val="0"/>
        <w:spacing w:line="580" w:lineRule="exac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highlight w:val="yellow"/>
        </w:rPr>
        <w:drawing>
          <wp:anchor distT="0" distB="0" distL="114300" distR="114300" simplePos="0" relativeHeight="251659264" behindDoc="0" locked="0" layoutInCell="1" allowOverlap="1">
            <wp:simplePos x="0" y="0"/>
            <wp:positionH relativeFrom="column">
              <wp:posOffset>381000</wp:posOffset>
            </wp:positionH>
            <wp:positionV relativeFrom="paragraph">
              <wp:posOffset>6985</wp:posOffset>
            </wp:positionV>
            <wp:extent cx="5241925" cy="2988310"/>
            <wp:effectExtent l="5080" t="4445" r="10795" b="9525"/>
            <wp:wrapNone/>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adjustRightInd w:val="0"/>
        <w:snapToGrid w:val="0"/>
        <w:spacing w:line="580" w:lineRule="exact"/>
        <w:rPr>
          <w:rFonts w:hint="eastAsia" w:ascii="仿宋_GB2312" w:hAnsi="Times New Roman" w:eastAsia="仿宋_GB2312" w:cs="DengXian-Regular"/>
          <w:sz w:val="32"/>
          <w:szCs w:val="32"/>
        </w:rPr>
      </w:pPr>
    </w:p>
    <w:p>
      <w:pPr>
        <w:adjustRightInd w:val="0"/>
        <w:snapToGrid w:val="0"/>
        <w:spacing w:line="580" w:lineRule="exact"/>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rPr>
          <w:rFonts w:ascii="仿宋_GB2312" w:hAnsi="Times New Roman" w:eastAsia="仿宋_GB2312" w:cs="DengXian-Regular"/>
          <w:sz w:val="32"/>
          <w:szCs w:val="32"/>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eastAsia="黑体" w:cs="Times New Roman"/>
          <w:sz w:val="32"/>
          <w:szCs w:val="32"/>
        </w:rPr>
        <w:t>二、收入决算情况说明</w:t>
      </w:r>
    </w:p>
    <w:p>
      <w:pPr>
        <w:autoSpaceDE w:val="0"/>
        <w:autoSpaceDN w:val="0"/>
        <w:adjustRightInd w:val="0"/>
        <w:ind w:left="200" w:firstLine="640" w:firstLineChars="200"/>
        <w:jc w:val="left"/>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2022年度收入合计2163.97万元，其中：财政拨款收入2163.97万元，占</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上级补助收入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eastAsia="黑体" w:cs="Times New Roman"/>
          <w:sz w:val="32"/>
          <w:szCs w:val="32"/>
        </w:rPr>
        <w:t>三、支出决算情况说明</w:t>
      </w:r>
    </w:p>
    <w:p>
      <w:pPr>
        <w:autoSpaceDE w:val="0"/>
        <w:autoSpaceDN w:val="0"/>
        <w:adjustRightInd w:val="0"/>
        <w:ind w:left="200"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2022年度支出合计2163.97万元，其中：基本支出</w:t>
      </w:r>
      <w:r>
        <w:rPr>
          <w:rFonts w:hint="eastAsia" w:ascii="仿宋_GB2312" w:hAnsi="Times New Roman" w:eastAsia="仿宋_GB2312" w:cs="DengXian-Regular"/>
          <w:sz w:val="32"/>
          <w:szCs w:val="32"/>
          <w:lang w:val="en-US" w:eastAsia="zh-CN"/>
        </w:rPr>
        <w:t>388.60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18.0</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1775.38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82.0</w:t>
      </w:r>
      <w:r>
        <w:rPr>
          <w:rFonts w:hint="eastAsia" w:ascii="仿宋_GB2312" w:hAnsi="Times New Roman" w:eastAsia="仿宋_GB2312" w:cs="DengXian-Regular"/>
          <w:sz w:val="32"/>
          <w:szCs w:val="32"/>
        </w:rPr>
        <w:t>%；上缴上级支出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utoSpaceDE w:val="0"/>
        <w:autoSpaceDN w:val="0"/>
        <w:adjustRightInd w:val="0"/>
        <w:ind w:left="200" w:firstLine="640" w:firstLineChars="200"/>
        <w:jc w:val="left"/>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drawing>
          <wp:inline distT="0" distB="0" distL="114300" distR="114300">
            <wp:extent cx="5256530" cy="2988310"/>
            <wp:effectExtent l="5080" t="4445" r="11430" b="952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四、</w:t>
      </w:r>
      <w:r>
        <w:rPr>
          <w:rFonts w:hint="eastAsia" w:ascii="黑体" w:hAnsi="Cambria" w:eastAsia="黑体"/>
          <w:kern w:val="0"/>
          <w:sz w:val="32"/>
          <w:szCs w:val="32"/>
        </w:rPr>
        <w:t>财政</w:t>
      </w:r>
      <w:r>
        <w:rPr>
          <w:rFonts w:hint="eastAsia" w:ascii="黑体"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2022年度财政拨款本年收入2163.97万元比2021年度增加</w:t>
      </w:r>
      <w:r>
        <w:rPr>
          <w:rFonts w:hint="eastAsia" w:ascii="仿宋_GB2312" w:hAnsi="Times New Roman" w:eastAsia="仿宋_GB2312" w:cs="DengXian-Regular"/>
          <w:sz w:val="32"/>
          <w:szCs w:val="32"/>
          <w:lang w:val="en-US" w:eastAsia="zh-CN"/>
        </w:rPr>
        <w:t>1472.01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212.7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2022年</w:t>
      </w:r>
      <w:r>
        <w:rPr>
          <w:rFonts w:hint="eastAsia" w:ascii="仿宋_GB2312" w:hAnsi="Times New Roman" w:eastAsia="仿宋_GB2312" w:cs="DengXian-Regular"/>
          <w:sz w:val="32"/>
          <w:szCs w:val="32"/>
        </w:rPr>
        <w:t>；本年支出2163.97万元，增加</w:t>
      </w:r>
      <w:r>
        <w:rPr>
          <w:rFonts w:hint="eastAsia" w:ascii="仿宋_GB2312" w:hAnsi="Times New Roman" w:eastAsia="仿宋_GB2312" w:cs="DengXian-Regular"/>
          <w:sz w:val="32"/>
          <w:szCs w:val="32"/>
          <w:lang w:val="en-US" w:eastAsia="zh-CN"/>
        </w:rPr>
        <w:t>1472.01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212.7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本单位2022年留置任务增多</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1.一般公共预算财政拨款本年收入2163.97万元，比上年增加</w:t>
      </w:r>
      <w:r>
        <w:rPr>
          <w:rFonts w:hint="eastAsia" w:ascii="仿宋_GB2312" w:hAnsi="Times New Roman" w:eastAsia="仿宋_GB2312" w:cs="DengXian-Regular"/>
          <w:sz w:val="32"/>
          <w:szCs w:val="32"/>
          <w:lang w:val="en-US" w:eastAsia="zh-CN"/>
        </w:rPr>
        <w:t>1472.01</w:t>
      </w:r>
      <w:r>
        <w:rPr>
          <w:rFonts w:hint="eastAsia" w:ascii="仿宋_GB2312" w:hAnsi="Times New Roman" w:eastAsia="仿宋_GB2312" w:cs="DengXian-Regular"/>
          <w:sz w:val="32"/>
          <w:szCs w:val="32"/>
        </w:rPr>
        <w:t>万元，增</w:t>
      </w:r>
      <w:r>
        <w:rPr>
          <w:rFonts w:hint="eastAsia" w:ascii="仿宋_GB2312" w:hAnsi="Times New Roman" w:eastAsia="仿宋_GB2312" w:cs="DengXian-Regular"/>
          <w:sz w:val="32"/>
          <w:szCs w:val="32"/>
          <w:lang w:val="en-US" w:eastAsia="zh-CN"/>
        </w:rPr>
        <w:t>长212.7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本单位2022年留置任务增多</w:t>
      </w:r>
      <w:r>
        <w:rPr>
          <w:rFonts w:hint="eastAsia" w:ascii="仿宋_GB2312" w:hAnsi="Times New Roman" w:eastAsia="仿宋_GB2312" w:cs="DengXian-Regular"/>
          <w:sz w:val="32"/>
          <w:szCs w:val="32"/>
        </w:rPr>
        <w:t>；本年支出2163.97万元，比上年增加</w:t>
      </w:r>
      <w:r>
        <w:rPr>
          <w:rFonts w:hint="eastAsia" w:ascii="仿宋_GB2312" w:hAnsi="Times New Roman" w:eastAsia="仿宋_GB2312" w:cs="DengXian-Regular"/>
          <w:sz w:val="32"/>
          <w:szCs w:val="32"/>
          <w:lang w:val="en-US" w:eastAsia="zh-CN"/>
        </w:rPr>
        <w:t>1472.01</w:t>
      </w:r>
      <w:r>
        <w:rPr>
          <w:rFonts w:hint="eastAsia" w:ascii="仿宋_GB2312" w:hAnsi="Times New Roman" w:eastAsia="仿宋_GB2312" w:cs="DengXian-Regular"/>
          <w:sz w:val="32"/>
          <w:szCs w:val="32"/>
        </w:rPr>
        <w:t>万元，增</w:t>
      </w:r>
      <w:r>
        <w:rPr>
          <w:rFonts w:hint="eastAsia" w:ascii="仿宋_GB2312" w:hAnsi="Times New Roman" w:eastAsia="仿宋_GB2312" w:cs="DengXian-Regular"/>
          <w:sz w:val="32"/>
          <w:szCs w:val="32"/>
          <w:lang w:val="en-US" w:eastAsia="zh-CN"/>
        </w:rPr>
        <w:t>长212.7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本单位2022年留置任务增多</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政府性基金预算财政拨款；本年支出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政府性基金预算财政拨款。</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国有资本经营预算财政拨款；本年支出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国有资本经营预算财政拨款。</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drawing>
          <wp:anchor distT="0" distB="0" distL="114300" distR="114300" simplePos="0" relativeHeight="251674624" behindDoc="0" locked="0" layoutInCell="1" allowOverlap="1">
            <wp:simplePos x="0" y="0"/>
            <wp:positionH relativeFrom="column">
              <wp:posOffset>411480</wp:posOffset>
            </wp:positionH>
            <wp:positionV relativeFrom="paragraph">
              <wp:posOffset>-2703195</wp:posOffset>
            </wp:positionV>
            <wp:extent cx="5256530" cy="2988310"/>
            <wp:effectExtent l="5080" t="4445" r="11430" b="9525"/>
            <wp:wrapNone/>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2022年度财政拨款本年收入2163.97万元，完成年初预算的</w:t>
      </w:r>
      <w:r>
        <w:rPr>
          <w:rFonts w:hint="eastAsia" w:ascii="仿宋_GB2312" w:hAnsi="Times New Roman" w:eastAsia="仿宋_GB2312" w:cs="DengXian-Regular"/>
          <w:sz w:val="32"/>
          <w:szCs w:val="32"/>
          <w:lang w:val="en-US" w:eastAsia="zh-CN"/>
        </w:rPr>
        <w:t>99.9</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1.23</w:t>
      </w:r>
      <w:r>
        <w:rPr>
          <w:rFonts w:hint="eastAsia" w:ascii="仿宋_GB2312" w:hAnsi="Times New Roman" w:eastAsia="仿宋_GB2312" w:cs="DengXian-Regular"/>
          <w:sz w:val="32"/>
          <w:szCs w:val="32"/>
        </w:rPr>
        <w:t>万元，决算数小于预算数主要原因是厉行节约、压缩开支；本年支出2163.97万元，完成年初预算的</w:t>
      </w:r>
      <w:r>
        <w:rPr>
          <w:rFonts w:hint="eastAsia" w:ascii="仿宋_GB2312" w:hAnsi="Times New Roman" w:eastAsia="仿宋_GB2312" w:cs="DengXian-Regular"/>
          <w:sz w:val="32"/>
          <w:szCs w:val="32"/>
          <w:lang w:val="en-US" w:eastAsia="zh-CN"/>
        </w:rPr>
        <w:t>99.9</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1.23</w:t>
      </w:r>
      <w:r>
        <w:rPr>
          <w:rFonts w:hint="eastAsia" w:ascii="仿宋_GB2312" w:hAnsi="Times New Roman" w:eastAsia="仿宋_GB2312" w:cs="DengXian-Regular"/>
          <w:sz w:val="32"/>
          <w:szCs w:val="32"/>
        </w:rPr>
        <w:t>万元，决算数小于预算数主要原因是厉行节约、压缩开支。具体情况如下：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99.9</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1.23</w:t>
      </w:r>
      <w:r>
        <w:rPr>
          <w:rFonts w:hint="eastAsia" w:ascii="仿宋_GB2312" w:hAnsi="Times New Roman" w:eastAsia="仿宋_GB2312" w:cs="DengXian-Regular"/>
          <w:sz w:val="32"/>
          <w:szCs w:val="32"/>
        </w:rPr>
        <w:t>万元，主要是厉行节约、压缩开支；支出完成年初预算</w:t>
      </w:r>
      <w:r>
        <w:rPr>
          <w:rFonts w:hint="eastAsia" w:ascii="仿宋_GB2312" w:hAnsi="Times New Roman" w:eastAsia="仿宋_GB2312" w:cs="DengXian-Regular"/>
          <w:sz w:val="32"/>
          <w:szCs w:val="32"/>
          <w:lang w:val="en-US" w:eastAsia="zh-CN"/>
        </w:rPr>
        <w:t>99.9</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1.23</w:t>
      </w:r>
      <w:r>
        <w:rPr>
          <w:rFonts w:hint="eastAsia" w:ascii="仿宋_GB2312" w:hAnsi="Times New Roman" w:eastAsia="仿宋_GB2312" w:cs="DengXian-Regular"/>
          <w:sz w:val="32"/>
          <w:szCs w:val="32"/>
        </w:rPr>
        <w:t>万元，主要是厉行节约、压缩开支。</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政府性基金预算财政拨款；支出完成年初预算</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政府性基金预算财政拨款。</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国有资本经营预算财政拨款；支出完成年初预算</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国有资本经营预算财政拨款。</w:t>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drawing>
          <wp:anchor distT="0" distB="0" distL="114300" distR="114300" simplePos="0" relativeHeight="251675648" behindDoc="1" locked="0" layoutInCell="1" allowOverlap="1">
            <wp:simplePos x="0" y="0"/>
            <wp:positionH relativeFrom="column">
              <wp:posOffset>411480</wp:posOffset>
            </wp:positionH>
            <wp:positionV relativeFrom="paragraph">
              <wp:posOffset>-2703195</wp:posOffset>
            </wp:positionV>
            <wp:extent cx="5256530" cy="2988310"/>
            <wp:effectExtent l="5080" t="4445" r="11430" b="9525"/>
            <wp:wrapNone/>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2022年度财政拨款支出2163.97万元，主要用于以下方面</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一般公共服务支出2,083.6万元，占</w:t>
      </w:r>
      <w:r>
        <w:rPr>
          <w:rFonts w:hint="eastAsia" w:ascii="仿宋_GB2312" w:hAnsi="Times New Roman" w:eastAsia="仿宋_GB2312" w:cs="DengXian-Regular"/>
          <w:sz w:val="32"/>
          <w:szCs w:val="32"/>
          <w:lang w:val="en-US" w:eastAsia="zh-CN"/>
        </w:rPr>
        <w:t>96.3</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纪检监察事务</w:t>
      </w:r>
      <w:r>
        <w:rPr>
          <w:rFonts w:hint="eastAsia" w:ascii="仿宋_GB2312" w:hAnsi="Times New Roman" w:eastAsia="仿宋_GB2312" w:cs="DengXian-Regular"/>
          <w:sz w:val="32"/>
          <w:szCs w:val="32"/>
        </w:rPr>
        <w:t xml:space="preserve">支出；社会保障和就业支出 </w:t>
      </w:r>
      <w:r>
        <w:rPr>
          <w:rFonts w:hint="eastAsia" w:ascii="仿宋_GB2312" w:hAnsi="Times New Roman" w:eastAsia="仿宋_GB2312" w:cs="DengXian-Regular"/>
          <w:sz w:val="32"/>
          <w:szCs w:val="32"/>
          <w:lang w:val="en-US" w:eastAsia="zh-CN"/>
        </w:rPr>
        <w:t>33.71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1.6</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行政事业单位养老支出</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卫生健康支出19.21万元，占0.9%，</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行政事业单位医疗支出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住房保障支出</w:t>
      </w:r>
      <w:r>
        <w:rPr>
          <w:rFonts w:hint="eastAsia" w:ascii="仿宋_GB2312" w:hAnsi="Times New Roman" w:eastAsia="仿宋_GB2312" w:cs="DengXian-Regular"/>
          <w:sz w:val="32"/>
          <w:szCs w:val="32"/>
          <w:lang w:val="en-US" w:eastAsia="zh-CN"/>
        </w:rPr>
        <w:t>27.45</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1.3</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主要用于缴纳住房公积金。</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388.6</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人员经费</w:t>
      </w:r>
      <w:r>
        <w:rPr>
          <w:rFonts w:hint="eastAsia" w:ascii="仿宋_GB2312" w:hAnsi="Times New Roman" w:eastAsia="仿宋_GB2312" w:cs="DengXian-Regular"/>
          <w:sz w:val="32"/>
          <w:szCs w:val="32"/>
          <w:lang w:val="en-US" w:eastAsia="zh-CN"/>
        </w:rPr>
        <w:t>370.02</w:t>
      </w:r>
      <w:r>
        <w:rPr>
          <w:rFonts w:hint="eastAsia" w:ascii="仿宋_GB2312" w:hAnsi="Times New Roman" w:eastAsia="仿宋_GB2312" w:cs="DengXian-Regular"/>
          <w:sz w:val="32"/>
          <w:szCs w:val="32"/>
        </w:rPr>
        <w:t>万元，主要包括基本工资、津贴补贴、奖金、绩效工资、机关事业单位基本养老保险缴费、职工基本医疗保险缴费、公务员医疗补助缴费、住房公积金、其他社会保障缴费、其他工资福利支出</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公用经费</w:t>
      </w:r>
      <w:r>
        <w:rPr>
          <w:rFonts w:hint="eastAsia" w:ascii="仿宋_GB2312" w:hAnsi="Times New Roman" w:eastAsia="仿宋_GB2312" w:cs="DengXian-Regular"/>
          <w:sz w:val="32"/>
          <w:szCs w:val="32"/>
          <w:lang w:val="en-US" w:eastAsia="zh-CN"/>
        </w:rPr>
        <w:t>18.58</w:t>
      </w:r>
      <w:r>
        <w:rPr>
          <w:rFonts w:hint="eastAsia" w:ascii="仿宋_GB2312" w:hAnsi="Times New Roman" w:eastAsia="仿宋_GB2312" w:cs="DengXian-Regular"/>
          <w:sz w:val="32"/>
          <w:szCs w:val="32"/>
        </w:rPr>
        <w:t>万元，主要包括办公费、工会经费、公务用车运行维护费</w: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2022年度“三公”经费财政拨款支出预算为</w:t>
      </w:r>
      <w:r>
        <w:rPr>
          <w:rFonts w:hint="eastAsia" w:ascii="仿宋_GB2312" w:hAnsi="Times New Roman" w:eastAsia="仿宋_GB2312" w:cs="DengXian-Regular"/>
          <w:sz w:val="32"/>
          <w:szCs w:val="32"/>
          <w:lang w:val="en-US" w:eastAsia="zh-CN"/>
        </w:rPr>
        <w:t>13.5</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10.53</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78.0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2.97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22.0</w:t>
      </w:r>
      <w:r>
        <w:rPr>
          <w:rFonts w:hint="eastAsia" w:ascii="仿宋_GB2312" w:hAnsi="Times New Roman" w:eastAsia="仿宋_GB2312" w:cs="DengXian-Regular"/>
          <w:sz w:val="32"/>
          <w:szCs w:val="32"/>
        </w:rPr>
        <w:t>%，主</w:t>
      </w:r>
      <w:r>
        <w:rPr>
          <w:rFonts w:hint="eastAsia" w:ascii="仿宋_GB2312" w:hAnsi="Times New Roman" w:eastAsia="仿宋_GB2312" w:cs="DengXian-Regular"/>
          <w:sz w:val="32"/>
          <w:szCs w:val="32"/>
          <w:lang w:eastAsia="zh-CN"/>
        </w:rPr>
        <w:t>要是严格贯彻落实“中央八项规定”精神 和厉行节约要求；较2021年度决算</w:t>
      </w:r>
      <w:r>
        <w:rPr>
          <w:rFonts w:hint="eastAsia" w:ascii="仿宋_GB2312" w:hAnsi="Times New Roman" w:eastAsia="仿宋_GB2312" w:cs="DengXian-Regular"/>
          <w:sz w:val="32"/>
          <w:szCs w:val="32"/>
        </w:rPr>
        <w:t>减少</w:t>
      </w:r>
      <w:r>
        <w:rPr>
          <w:rFonts w:hint="eastAsia" w:ascii="仿宋_GB2312" w:hAnsi="Times New Roman" w:eastAsia="仿宋_GB2312" w:cs="DengXian-Regular"/>
          <w:sz w:val="32"/>
          <w:szCs w:val="32"/>
          <w:lang w:val="en-US" w:eastAsia="zh-CN"/>
        </w:rPr>
        <w:t>34.56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76.5</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eastAsia="zh-CN"/>
        </w:rPr>
        <w:t>是202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lang w:eastAsia="zh-CN"/>
        </w:rPr>
        <w:t>年新增购置车辆，202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lang w:eastAsia="zh-CN"/>
        </w:rPr>
        <w:t>年无新增购置车辆。</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因公出国（境）费；较上年增加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val="en-US" w:eastAsia="zh-CN"/>
        </w:rPr>
        <w:t>是上年无</w:t>
      </w:r>
      <w:r>
        <w:rPr>
          <w:rFonts w:hint="eastAsia" w:ascii="仿宋_GB2312" w:hAnsi="Times New Roman" w:eastAsia="仿宋_GB2312" w:cs="DengXian-Regular"/>
          <w:sz w:val="32"/>
          <w:szCs w:val="32"/>
        </w:rPr>
        <w:t>因公出国（境）费。其中因公出国（境）团组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2022年度公务用车购置及运行维护费预算为</w:t>
      </w:r>
      <w:r>
        <w:rPr>
          <w:rFonts w:hint="eastAsia" w:ascii="仿宋_GB2312" w:hAnsi="Times New Roman" w:eastAsia="仿宋_GB2312" w:cs="DengXian-Regular"/>
          <w:sz w:val="32"/>
          <w:szCs w:val="32"/>
          <w:lang w:val="en-US" w:eastAsia="zh-CN"/>
        </w:rPr>
        <w:t>13.5</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10.53</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78.0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2.97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22.0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严格贯彻落实“中央八项规定”精神 和厉行节约要求</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34.56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76.5</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lang w:eastAsia="zh-CN"/>
        </w:rPr>
        <w:t>年新增购置车辆，202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lang w:eastAsia="zh-CN"/>
        </w:rPr>
        <w:t>年无新增购置车辆</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，未发生“公务用车购置”经费支出。</w:t>
      </w:r>
      <w:r>
        <w:rPr>
          <w:rFonts w:hint="eastAsia" w:ascii="仿宋_GB2312" w:hAnsi="Times New Roman" w:eastAsia="仿宋_GB2312" w:cs="DengXian-Regular"/>
          <w:sz w:val="32"/>
          <w:szCs w:val="32"/>
        </w:rPr>
        <w:t>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，主要是本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lang w:eastAsia="zh-CN"/>
        </w:rPr>
        <w:t>2021年未购置车辆，未新增车辆；较上年减少</w:t>
      </w:r>
      <w:r>
        <w:rPr>
          <w:rFonts w:hint="eastAsia" w:ascii="仿宋_GB2312" w:hAnsi="Times New Roman" w:eastAsia="仿宋_GB2312" w:cs="DengXian-Regular"/>
          <w:sz w:val="32"/>
          <w:szCs w:val="32"/>
          <w:lang w:val="en-US" w:eastAsia="zh-CN"/>
        </w:rPr>
        <w:t>40</w:t>
      </w:r>
      <w:r>
        <w:rPr>
          <w:rFonts w:hint="eastAsia" w:ascii="仿宋_GB2312" w:hAnsi="Times New Roman" w:eastAsia="仿宋_GB2312" w:cs="DengXian-Regular"/>
          <w:sz w:val="32"/>
          <w:szCs w:val="32"/>
          <w:lang w:eastAsia="zh-CN"/>
        </w:rPr>
        <w:t>万元，降低</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lang w:eastAsia="zh-CN"/>
        </w:rPr>
        <w:t>%，主要是未购入新增车辆。</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10.53</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2022年度单位公务用车保有量</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2.97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22.0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严格贯彻落实“中央八项规定”精神 和厉行节约要求</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5.34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102.9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本单位2022年留置任务增多，</w:t>
      </w:r>
      <w:r>
        <w:rPr>
          <w:rFonts w:hint="eastAsia" w:ascii="仿宋_GB2312" w:hAnsi="Times New Roman" w:eastAsia="仿宋_GB2312" w:cs="DengXian-Regular"/>
          <w:sz w:val="32"/>
          <w:szCs w:val="32"/>
        </w:rPr>
        <w:t>公车运维繁忙，导致公务用车运行维护费支出大幅度增加。</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2022年无公务接待</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X%</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2021年无公务接待费支出</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color w:val="auto"/>
          <w:sz w:val="32"/>
          <w:szCs w:val="32"/>
          <w:highlight w:val="none"/>
          <w:lang w:eastAsia="zh-CN"/>
        </w:rPr>
      </w:pPr>
      <w:r>
        <w:rPr>
          <w:rFonts w:hint="eastAsia" w:ascii="仿宋_GB2312" w:hAnsi="Times New Roman" w:eastAsia="仿宋_GB2312" w:cs="DengXian-Regular"/>
          <w:color w:val="auto"/>
          <w:sz w:val="32"/>
          <w:szCs w:val="32"/>
          <w:highlight w:val="none"/>
          <w:lang w:val="en-US" w:eastAsia="zh-CN"/>
        </w:rPr>
        <w:t>本单位为</w:t>
      </w:r>
      <w:r>
        <w:rPr>
          <w:rFonts w:hint="eastAsia" w:ascii="仿宋_GB2312" w:hAnsi="Times New Roman" w:eastAsia="仿宋_GB2312" w:cs="DengXian-Regular"/>
          <w:color w:val="auto"/>
          <w:sz w:val="32"/>
          <w:szCs w:val="32"/>
          <w:highlight w:val="none"/>
        </w:rPr>
        <w:t>事业单位无机关运行经费</w:t>
      </w:r>
      <w:r>
        <w:rPr>
          <w:rFonts w:hint="eastAsia" w:ascii="仿宋_GB2312" w:hAnsi="Times New Roman" w:eastAsia="仿宋_GB2312" w:cs="DengXian-Regular"/>
          <w:color w:val="auto"/>
          <w:sz w:val="32"/>
          <w:szCs w:val="32"/>
          <w:highlight w:val="none"/>
          <w:lang w:eastAsia="zh-CN"/>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共有车辆</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val="en-US" w:eastAsia="zh-CN"/>
        </w:rPr>
        <w:t>2021年购置救护车项目，因未中标企业提出质疑，我单位做废标处理，于2022年采购</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其他用车；单位价值100万元以上设备（不含车辆）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 w:hAnsi="仿宋" w:eastAsia="仿宋" w:cs="仿宋_GB2312"/>
          <w:b/>
          <w:bCs/>
          <w:sz w:val="32"/>
          <w:szCs w:val="32"/>
        </w:rPr>
      </w:pPr>
      <w:r>
        <w:rPr>
          <w:rFonts w:hint="eastAsia" w:ascii="楷体" w:hAnsi="楷体" w:eastAsia="楷体" w:cs="楷体"/>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组织对2022年度一般公共预算项目支出全面开展绩效自评，其中，一级项目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1775.38</w:t>
      </w:r>
      <w:r>
        <w:rPr>
          <w:rFonts w:hint="eastAsia" w:ascii="仿宋_GB2312" w:hAnsi="仿宋_GB2312" w:eastAsia="仿宋_GB2312" w:cs="仿宋_GB2312"/>
          <w:sz w:val="32"/>
          <w:szCs w:val="32"/>
        </w:rPr>
        <w:t>万元，占一般公共预算项目支出总额的100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组织对“易县廉政教育中心运行”等</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个一级项目开展了重点评价，涉及一般公共预算支出XX万元，政府性基金预算支出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万元。从评价情况来看，该项目资金运用合理规范，均较好的完成了绩效目标</w:t>
      </w:r>
      <w:r>
        <w:rPr>
          <w:rFonts w:hint="eastAsia" w:ascii="仿宋_GB2312" w:hAnsi="仿宋_GB2312" w:eastAsia="仿宋_GB2312" w:cs="仿宋_GB2312"/>
          <w:sz w:val="32"/>
          <w:szCs w:val="32"/>
          <w:lang w:eastAsia="zh-CN"/>
        </w:rPr>
        <w:t>。</w:t>
      </w:r>
    </w:p>
    <w:p>
      <w:pPr>
        <w:adjustRightInd w:val="0"/>
        <w:snapToGrid w:val="0"/>
        <w:spacing w:line="580" w:lineRule="exact"/>
        <w:ind w:firstLine="643" w:firstLineChars="200"/>
        <w:rPr>
          <w:rFonts w:ascii="仿宋" w:hAnsi="仿宋" w:eastAsia="仿宋" w:cs="仿宋_GB2312"/>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eastAsia="zh-CN"/>
        </w:rPr>
        <w:t>单位</w:t>
      </w:r>
      <w:r>
        <w:rPr>
          <w:rFonts w:hint="eastAsia" w:ascii="楷体" w:hAnsi="楷体" w:eastAsia="楷体" w:cs="楷体"/>
          <w:b/>
          <w:bCs/>
          <w:sz w:val="32"/>
          <w:szCs w:val="32"/>
        </w:rPr>
        <w:t>决算中项目绩效自评结果</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在今年</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决算公开中反映易县廉政教育中心运行 费项目及</w:t>
      </w:r>
      <w:r>
        <w:rPr>
          <w:rFonts w:hint="eastAsia" w:ascii="仿宋_GB2312" w:hAnsi="仿宋_GB2312" w:eastAsia="仿宋_GB2312" w:cs="仿宋_GB2312"/>
          <w:sz w:val="32"/>
          <w:szCs w:val="32"/>
          <w:lang w:val="en-US" w:eastAsia="zh-CN"/>
        </w:rPr>
        <w:t>留置专案专项保障费用</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易县廉政教育中心运行费项目自评综述：根据年初设定的绩效目标，易县廉政教育中心运行费项目绩效自评得分为</w:t>
      </w:r>
      <w:r>
        <w:rPr>
          <w:rFonts w:hint="eastAsia" w:ascii="仿宋_GB2312" w:hAnsi="仿宋_GB2312" w:eastAsia="仿宋_GB2312" w:cs="仿宋_GB2312"/>
          <w:sz w:val="32"/>
          <w:szCs w:val="32"/>
          <w:lang w:val="en-US" w:eastAsia="zh-CN"/>
        </w:rPr>
        <w:t>99.2</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1695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1560.73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92.1%</w:t>
      </w:r>
      <w:r>
        <w:rPr>
          <w:rFonts w:hint="eastAsia" w:ascii="仿宋_GB2312" w:hAnsi="仿宋_GB2312" w:eastAsia="仿宋_GB2312" w:cs="仿宋_GB2312"/>
          <w:sz w:val="32"/>
          <w:szCs w:val="32"/>
        </w:rPr>
        <w:t>。项目绩效目标完成情况：通过项目实施，完成了年初设定的各项绩效目标，完成基地的后勤保障工作、保障基地正常运转，未发现问题</w:t>
      </w:r>
      <w:r>
        <w:rPr>
          <w:rFonts w:hint="eastAsia" w:ascii="仿宋_GB2312" w:hAnsi="仿宋_GB2312" w:eastAsia="仿宋_GB2312" w:cs="仿宋_GB2312"/>
          <w:sz w:val="32"/>
          <w:szCs w:val="32"/>
          <w:lang w:eastAsia="zh-CN"/>
        </w:rPr>
        <w:t>。</w:t>
      </w:r>
    </w:p>
    <w:tbl>
      <w:tblPr>
        <w:tblStyle w:val="6"/>
        <w:tblW w:w="95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2"/>
        <w:gridCol w:w="858"/>
        <w:gridCol w:w="834"/>
        <w:gridCol w:w="937"/>
        <w:gridCol w:w="974"/>
        <w:gridCol w:w="660"/>
        <w:gridCol w:w="384"/>
        <w:gridCol w:w="564"/>
        <w:gridCol w:w="811"/>
        <w:gridCol w:w="920"/>
        <w:gridCol w:w="1003"/>
        <w:gridCol w:w="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557" w:type="dxa"/>
            <w:gridSpan w:val="12"/>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项目</w:t>
            </w:r>
            <w:r>
              <w:rPr>
                <w:rFonts w:hint="eastAsia" w:ascii="宋体" w:hAnsi="宋体" w:cs="宋体"/>
                <w:b/>
                <w:bCs/>
                <w:i w:val="0"/>
                <w:iCs w:val="0"/>
                <w:color w:val="000000"/>
                <w:kern w:val="0"/>
                <w:sz w:val="40"/>
                <w:szCs w:val="40"/>
                <w:u w:val="none"/>
                <w:lang w:val="en-US" w:eastAsia="zh-CN" w:bidi="ar"/>
              </w:rPr>
              <w:t>支出</w:t>
            </w:r>
            <w:r>
              <w:rPr>
                <w:rFonts w:hint="eastAsia" w:ascii="宋体" w:hAnsi="宋体" w:eastAsia="宋体" w:cs="宋体"/>
                <w:b/>
                <w:bCs/>
                <w:i w:val="0"/>
                <w:iCs w:val="0"/>
                <w:color w:val="000000"/>
                <w:kern w:val="0"/>
                <w:sz w:val="40"/>
                <w:szCs w:val="40"/>
                <w:u w:val="none"/>
                <w:lang w:val="en-US" w:eastAsia="zh-CN" w:bidi="ar"/>
              </w:rPr>
              <w:t>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557" w:type="dxa"/>
            <w:gridSpan w:val="12"/>
            <w:vMerge w:val="continue"/>
            <w:tcBorders>
              <w:top w:val="single" w:color="000000" w:sz="8" w:space="0"/>
              <w:left w:val="single" w:color="000000" w:sz="8" w:space="0"/>
              <w:bottom w:val="nil"/>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b/>
                <w:bCs/>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一、基本情况</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易县廉政教育中心运行经费</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项目级次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本级</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实施主管单位</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222006 - 保定市易县廉政教育中心</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金额单位</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二、预算执行情况</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预算安排情况(调整后)</w:t>
            </w:r>
          </w:p>
        </w:tc>
        <w:tc>
          <w:tcPr>
            <w:tcW w:w="25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资金到位情况</w:t>
            </w:r>
          </w:p>
        </w:tc>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资金执行情况</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预算执行进度(%)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预算数</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1695</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到位数</w:t>
            </w:r>
          </w:p>
        </w:tc>
        <w:tc>
          <w:tcPr>
            <w:tcW w:w="1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1695</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执行数</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1560.73</w:t>
            </w:r>
          </w:p>
        </w:tc>
        <w:tc>
          <w:tcPr>
            <w:tcW w:w="16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其中:财政资金</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1695</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其中:财政资金</w:t>
            </w:r>
          </w:p>
        </w:tc>
        <w:tc>
          <w:tcPr>
            <w:tcW w:w="1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1695</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其中:财政资金</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1560.73</w:t>
            </w:r>
          </w:p>
        </w:tc>
        <w:tc>
          <w:tcPr>
            <w:tcW w:w="1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w:t>
            </w:r>
          </w:p>
        </w:tc>
        <w:tc>
          <w:tcPr>
            <w:tcW w:w="16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w:t>
            </w:r>
          </w:p>
        </w:tc>
        <w:tc>
          <w:tcPr>
            <w:tcW w:w="17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1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三、目标完成情况</w:t>
            </w:r>
          </w:p>
        </w:tc>
        <w:tc>
          <w:tcPr>
            <w:tcW w:w="360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年度预期目标</w:t>
            </w:r>
          </w:p>
        </w:tc>
        <w:tc>
          <w:tcPr>
            <w:tcW w:w="333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具体完成情况</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总体完成率(%)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360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1.提高日常工作、办案效率</w:t>
            </w:r>
          </w:p>
        </w:tc>
        <w:tc>
          <w:tcPr>
            <w:tcW w:w="333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能保障中心日常运行，保障办案及留置场所正常使用。</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360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2.保障办案安全性</w:t>
            </w:r>
          </w:p>
        </w:tc>
        <w:tc>
          <w:tcPr>
            <w:tcW w:w="333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提高了办案效率，提高了办案质量。</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四、绩效        指标完成情况</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指标说明</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指标分值</w:t>
            </w: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预期指标值</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单项指标实际完成值</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单项指标完成情况</w:t>
            </w:r>
          </w:p>
        </w:tc>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符号</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值</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单位(文字描述)</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各项工作完成率</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各项工作完成率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0</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&gt;=</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100</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100</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b/>
                <w:bCs/>
                <w:i w:val="0"/>
                <w:iCs w:val="0"/>
                <w:color w:val="000000"/>
                <w:sz w:val="21"/>
                <w:szCs w:val="21"/>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各项工作落实到位率</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保障日常工作落实到位，保障办案效率，保障各项工作完成率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&gt;=</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100</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100</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b/>
                <w:bCs/>
                <w:i w:val="0"/>
                <w:iCs w:val="0"/>
                <w:color w:val="000000"/>
                <w:sz w:val="21"/>
                <w:szCs w:val="21"/>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各项工作完成及时率</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各项工作完成及时率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100</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b/>
                <w:bCs/>
                <w:i w:val="0"/>
                <w:iCs w:val="0"/>
                <w:color w:val="000000"/>
                <w:sz w:val="21"/>
                <w:szCs w:val="21"/>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预算执行率</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&lt;=</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92.1</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业务保障提升率</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工作服务水平较上年提升情况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&gt;=</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100</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rPr>
                <w:rFonts w:hint="eastAsia" w:ascii="宋体" w:hAnsi="宋体" w:eastAsia="宋体" w:cs="宋体"/>
                <w:i w:val="0"/>
                <w:iCs w:val="0"/>
                <w:color w:val="000000"/>
                <w:sz w:val="21"/>
                <w:szCs w:val="21"/>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自评总分</w:t>
            </w:r>
          </w:p>
        </w:tc>
        <w:tc>
          <w:tcPr>
            <w:tcW w:w="7697"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99.2</w:t>
            </w:r>
          </w:p>
        </w:tc>
      </w:tr>
    </w:tbl>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留置专案专项保障费用</w:t>
      </w:r>
      <w:r>
        <w:rPr>
          <w:rFonts w:hint="eastAsia" w:ascii="仿宋_GB2312" w:hAnsi="仿宋_GB2312" w:eastAsia="仿宋_GB2312" w:cs="仿宋_GB2312"/>
          <w:sz w:val="32"/>
          <w:szCs w:val="32"/>
        </w:rPr>
        <w:t>项目绩效自评综述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根据年初设定的绩效目标，易县廉政教育中心</w:t>
      </w:r>
      <w:r>
        <w:rPr>
          <w:rFonts w:hint="eastAsia" w:ascii="仿宋_GB2312" w:hAnsi="仿宋_GB2312" w:eastAsia="仿宋_GB2312" w:cs="仿宋_GB2312"/>
          <w:sz w:val="32"/>
          <w:szCs w:val="32"/>
          <w:lang w:val="en-US" w:eastAsia="zh-CN"/>
        </w:rPr>
        <w:t>留置专案专项保障费用</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99.7</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222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214.65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96.7%</w:t>
      </w:r>
      <w:r>
        <w:rPr>
          <w:rFonts w:hint="eastAsia" w:ascii="仿宋_GB2312" w:hAnsi="仿宋_GB2312" w:eastAsia="仿宋_GB2312" w:cs="仿宋_GB2312"/>
          <w:sz w:val="32"/>
          <w:szCs w:val="32"/>
        </w:rPr>
        <w:t>。项目绩效目标完成情况：通过项目实施，完成了年初设定的各项绩效目标，完成基地的后勤保障工作、保障基地正常运转，未发现问题</w:t>
      </w:r>
      <w:r>
        <w:rPr>
          <w:rFonts w:hint="eastAsia" w:ascii="仿宋_GB2312" w:hAnsi="仿宋_GB2312" w:eastAsia="仿宋_GB2312" w:cs="仿宋_GB2312"/>
          <w:sz w:val="32"/>
          <w:szCs w:val="32"/>
          <w:lang w:eastAsia="zh-CN"/>
        </w:rPr>
        <w:t>。</w:t>
      </w:r>
    </w:p>
    <w:tbl>
      <w:tblPr>
        <w:tblStyle w:val="6"/>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0"/>
        <w:gridCol w:w="806"/>
        <w:gridCol w:w="785"/>
        <w:gridCol w:w="879"/>
        <w:gridCol w:w="850"/>
        <w:gridCol w:w="465"/>
        <w:gridCol w:w="428"/>
        <w:gridCol w:w="578"/>
        <w:gridCol w:w="774"/>
        <w:gridCol w:w="1035"/>
        <w:gridCol w:w="940"/>
        <w:gridCol w:w="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000" w:type="pct"/>
            <w:gridSpan w:val="12"/>
            <w:vMerge w:val="restart"/>
            <w:tcBorders>
              <w:top w:val="single" w:color="000000" w:sz="8" w:space="0"/>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项目</w:t>
            </w:r>
            <w:r>
              <w:rPr>
                <w:rFonts w:hint="eastAsia" w:ascii="宋体" w:hAnsi="宋体" w:cs="宋体"/>
                <w:b/>
                <w:bCs/>
                <w:i w:val="0"/>
                <w:iCs w:val="0"/>
                <w:color w:val="000000"/>
                <w:kern w:val="0"/>
                <w:sz w:val="40"/>
                <w:szCs w:val="40"/>
                <w:u w:val="none"/>
                <w:lang w:val="en-US" w:eastAsia="zh-CN" w:bidi="ar"/>
              </w:rPr>
              <w:t>支出</w:t>
            </w:r>
            <w:r>
              <w:rPr>
                <w:rFonts w:hint="eastAsia" w:ascii="宋体" w:hAnsi="宋体" w:eastAsia="宋体" w:cs="宋体"/>
                <w:b/>
                <w:bCs/>
                <w:i w:val="0"/>
                <w:iCs w:val="0"/>
                <w:color w:val="000000"/>
                <w:kern w:val="0"/>
                <w:sz w:val="40"/>
                <w:szCs w:val="40"/>
                <w:u w:val="none"/>
                <w:lang w:val="en-US" w:eastAsia="zh-CN" w:bidi="ar"/>
              </w:rPr>
              <w:t>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000" w:type="pct"/>
            <w:gridSpan w:val="12"/>
            <w:vMerge w:val="continue"/>
            <w:tcBorders>
              <w:top w:val="single" w:color="000000" w:sz="8" w:space="0"/>
              <w:left w:val="single" w:color="000000" w:sz="8" w:space="0"/>
              <w:bottom w:val="nil"/>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一、基本情况</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91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ascii="宋体" w:hAnsi="宋体" w:eastAsia="宋体" w:cs="宋体"/>
                <w:sz w:val="24"/>
                <w:szCs w:val="24"/>
              </w:rPr>
              <w:t>留置专案专项保障费用</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项目级次</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本级</w:t>
            </w:r>
          </w:p>
        </w:tc>
        <w:tc>
          <w:tcPr>
            <w:tcW w:w="5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实施主管单位</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222006 - 保定市易县廉政教育中心</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金额单位</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二、预算执行情况</w:t>
            </w:r>
          </w:p>
        </w:tc>
        <w:tc>
          <w:tcPr>
            <w:tcW w:w="8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预算安排情况(调整后)</w:t>
            </w:r>
          </w:p>
        </w:tc>
        <w:tc>
          <w:tcPr>
            <w:tcW w:w="121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资金到位情况</w:t>
            </w:r>
          </w:p>
        </w:tc>
        <w:tc>
          <w:tcPr>
            <w:tcW w:w="155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资金执行情况</w:t>
            </w:r>
          </w:p>
        </w:tc>
        <w:tc>
          <w:tcPr>
            <w:tcW w:w="8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预算执行进度(%)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预算数</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222</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到位数</w:t>
            </w:r>
          </w:p>
        </w:tc>
        <w:tc>
          <w:tcPr>
            <w:tcW w:w="72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222</w:t>
            </w:r>
          </w:p>
        </w:tc>
        <w:tc>
          <w:tcPr>
            <w:tcW w:w="5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执行数</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214.65</w:t>
            </w:r>
          </w:p>
        </w:tc>
        <w:tc>
          <w:tcPr>
            <w:tcW w:w="83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其中:财政资金</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222</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其中:财政资金</w:t>
            </w:r>
          </w:p>
        </w:tc>
        <w:tc>
          <w:tcPr>
            <w:tcW w:w="72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222</w:t>
            </w:r>
          </w:p>
        </w:tc>
        <w:tc>
          <w:tcPr>
            <w:tcW w:w="5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其中:财政资金</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214.65</w:t>
            </w:r>
          </w:p>
        </w:tc>
        <w:tc>
          <w:tcPr>
            <w:tcW w:w="83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w:t>
            </w:r>
          </w:p>
        </w:tc>
        <w:tc>
          <w:tcPr>
            <w:tcW w:w="72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5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w:t>
            </w:r>
          </w:p>
        </w:tc>
        <w:tc>
          <w:tcPr>
            <w:tcW w:w="9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83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三、目标完成情况</w:t>
            </w:r>
          </w:p>
        </w:tc>
        <w:tc>
          <w:tcPr>
            <w:tcW w:w="183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年度预期目标</w:t>
            </w:r>
          </w:p>
        </w:tc>
        <w:tc>
          <w:tcPr>
            <w:tcW w:w="181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具体完成情况</w:t>
            </w:r>
          </w:p>
        </w:tc>
        <w:tc>
          <w:tcPr>
            <w:tcW w:w="8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总体完成率(%)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183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1.提高日常工作、办案效率</w:t>
            </w:r>
          </w:p>
        </w:tc>
        <w:tc>
          <w:tcPr>
            <w:tcW w:w="181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能保障中心日常运行，保障办案及留置场所正常使用。</w:t>
            </w:r>
          </w:p>
        </w:tc>
        <w:tc>
          <w:tcPr>
            <w:tcW w:w="8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183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2.保障办案安全性</w:t>
            </w:r>
          </w:p>
        </w:tc>
        <w:tc>
          <w:tcPr>
            <w:tcW w:w="181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提高了办案效率，提高了办案质量。</w:t>
            </w:r>
          </w:p>
        </w:tc>
        <w:tc>
          <w:tcPr>
            <w:tcW w:w="8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四、绩效        指标完成情况</w:t>
            </w:r>
          </w:p>
        </w:tc>
        <w:tc>
          <w:tcPr>
            <w:tcW w:w="44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43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4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指标说明</w:t>
            </w:r>
          </w:p>
        </w:tc>
        <w:tc>
          <w:tcPr>
            <w:tcW w:w="25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指标分值</w:t>
            </w:r>
          </w:p>
        </w:tc>
        <w:tc>
          <w:tcPr>
            <w:tcW w:w="98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预期指标值</w:t>
            </w:r>
          </w:p>
        </w:tc>
        <w:tc>
          <w:tcPr>
            <w:tcW w:w="5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单项指标实际完成值</w:t>
            </w: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单项指标完成情况</w:t>
            </w:r>
          </w:p>
        </w:tc>
        <w:tc>
          <w:tcPr>
            <w:tcW w:w="32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4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4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符号</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值</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单位(文字描述)</w:t>
            </w: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44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产出指标</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综合事务完成率</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各项工作完成率</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0</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&gt;=</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100</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100</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bCs/>
                <w:i w:val="0"/>
                <w:iCs w:val="0"/>
                <w:color w:val="000000"/>
                <w:sz w:val="21"/>
                <w:szCs w:val="21"/>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各项工作落实到位率</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Calibri" w:hAnsi="Calibri" w:eastAsia="宋体" w:cs="Calibri"/>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保障日常工作落实到位，保障办案效率，保障各项工作完成率</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&gt;=</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100</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bCs/>
                <w:i w:val="0"/>
                <w:iCs w:val="0"/>
                <w:color w:val="000000"/>
                <w:sz w:val="21"/>
                <w:szCs w:val="21"/>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各项工作完成及时率</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各项工作完成及时率</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bCs/>
                <w:i w:val="0"/>
                <w:iCs w:val="0"/>
                <w:color w:val="000000"/>
                <w:sz w:val="21"/>
                <w:szCs w:val="21"/>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预算执行率</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预算执行率</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&lt;=</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96.7</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效益指标</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工作服务提升率</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工作服务水平较上年提升情况</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&gt;=</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100</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自评总分</w:t>
            </w:r>
          </w:p>
        </w:tc>
        <w:tc>
          <w:tcPr>
            <w:tcW w:w="4036"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99.7</w:t>
            </w:r>
          </w:p>
        </w:tc>
      </w:tr>
    </w:tbl>
    <w:p>
      <w:pPr>
        <w:numPr>
          <w:ilvl w:val="0"/>
          <w:numId w:val="3"/>
        </w:numPr>
        <w:adjustRightInd w:val="0"/>
        <w:snapToGrid w:val="0"/>
        <w:spacing w:line="580" w:lineRule="exact"/>
        <w:ind w:left="420" w:leftChars="20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单位</w:t>
      </w:r>
      <w:r>
        <w:rPr>
          <w:rFonts w:hint="eastAsia" w:ascii="仿宋_GB2312" w:hAnsi="仿宋_GB2312" w:eastAsia="仿宋_GB2312" w:cs="仿宋_GB2312"/>
          <w:b/>
          <w:bCs/>
          <w:sz w:val="32"/>
          <w:szCs w:val="32"/>
        </w:rPr>
        <w:t>评价项目绩效评价结果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本单位本年度没有财政评价项目绩效评价</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2022年度政府性基金预算财政拨款、国有资本经 营预算财政拨款无收支及结转结余情况，故政府性基金预算财政 拨款收入支出决算表、国有资本经营预算财政拨款支出决算表以空表列示。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p>
    <w:p>
      <w:pPr>
        <w:widowControl/>
        <w:jc w:val="center"/>
        <w:rPr>
          <w:sz w:val="44"/>
          <w:szCs w:val="44"/>
        </w:rPr>
      </w:pPr>
      <w:r>
        <w:rPr>
          <w:rFonts w:hint="eastAsia" w:ascii="黑体" w:hAnsi="黑体" w:eastAsia="黑体"/>
          <w:color w:val="000000"/>
          <w:sz w:val="44"/>
          <w:szCs w:val="44"/>
        </w:rPr>
        <w:t>第四部分  名词解释</w:t>
      </w: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r>
        <w:rPr>
          <w:rFonts w:hint="eastAsia" w:ascii="黑体" w:hAnsi="黑体" w:eastAsia="黑体"/>
          <w:color w:val="000000"/>
          <w:sz w:val="44"/>
          <w:szCs w:val="44"/>
        </w:rPr>
        <w:t xml:space="preserve">   </w:t>
      </w:r>
    </w:p>
    <w:p>
      <w:pPr>
        <w:widowControl/>
        <w:jc w:val="center"/>
        <w:rPr>
          <w:rFonts w:ascii="黑体" w:hAnsi="黑体" w:eastAsia="黑体"/>
          <w:color w:val="000000"/>
          <w:sz w:val="44"/>
          <w:szCs w:val="44"/>
        </w:rPr>
      </w:pPr>
    </w:p>
    <w:p>
      <w:pPr>
        <w:widowControl/>
        <w:jc w:val="center"/>
        <w:rPr>
          <w:rFonts w:ascii="黑体" w:hAnsi="黑体" w:eastAsia="黑体"/>
          <w:color w:val="000000"/>
          <w:sz w:val="44"/>
          <w:szCs w:val="44"/>
        </w:rPr>
      </w:pPr>
      <w:r>
        <w:rPr>
          <w:rFonts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19050" t="0" r="7620" b="0"/>
            <wp:wrapNone/>
            <wp:docPr id="21"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76"/>
                    <pic:cNvPicPr>
                      <a:picLocks noChangeAspect="1" noChangeArrowheads="1"/>
                    </pic:cNvPicPr>
                  </pic:nvPicPr>
                  <pic:blipFill>
                    <a:blip r:embed="rId20" cstate="print"/>
                    <a:srcRect/>
                    <a:stretch>
                      <a:fillRect/>
                    </a:stretch>
                  </pic:blipFill>
                  <pic:spPr>
                    <a:xfrm>
                      <a:off x="0" y="0"/>
                      <a:ext cx="640080" cy="640080"/>
                    </a:xfrm>
                    <a:prstGeom prst="rect">
                      <a:avLst/>
                    </a:prstGeom>
                    <a:noFill/>
                    <a:ln w="9525">
                      <a:noFill/>
                      <a:miter lim="800000"/>
                      <a:headEnd/>
                      <a:tailEnd/>
                    </a:ln>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w:t>
      </w:r>
      <w:r>
        <w:rPr>
          <w:rFonts w:hint="eastAsia" w:ascii="仿宋_GB2312" w:hAnsi="宋体" w:eastAsia="仿宋_GB2312" w:cs="Times New Roman"/>
          <w:bCs/>
          <w:color w:val="000000"/>
          <w:kern w:val="0"/>
          <w:sz w:val="32"/>
          <w:szCs w:val="32"/>
          <w:lang w:eastAsia="zh-CN"/>
        </w:rPr>
        <w:t>单位</w:t>
      </w:r>
      <w:r>
        <w:rPr>
          <w:rFonts w:hint="eastAsia" w:ascii="仿宋_GB2312" w:hAnsi="宋体" w:eastAsia="仿宋_GB2312" w:cs="Times New Roman"/>
          <w:bCs/>
          <w:color w:val="000000"/>
          <w:kern w:val="0"/>
          <w:sz w:val="32"/>
          <w:szCs w:val="32"/>
        </w:rPr>
        <w:t>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4"/>
        </w:numPr>
        <w:spacing w:line="580" w:lineRule="exact"/>
        <w:rPr>
          <w:rFonts w:ascii="仿宋_GB2312" w:hAnsi="宋体" w:eastAsia="仿宋_GB2312" w:cs="Times New Roman"/>
          <w:bCs/>
          <w:color w:val="000000"/>
          <w:kern w:val="0"/>
          <w:sz w:val="32"/>
          <w:szCs w:val="32"/>
        </w:rPr>
      </w:pPr>
      <w:bookmarkStart w:id="0" w:name="_GoBack"/>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bookmarkEnd w:id="0"/>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w:t>
      </w:r>
      <w:r>
        <w:rPr>
          <w:rFonts w:hint="eastAsia" w:ascii="仿宋_GB2312" w:hAnsi="宋体" w:eastAsia="仿宋_GB2312" w:cs="Times New Roman"/>
          <w:color w:val="000000"/>
          <w:kern w:val="0"/>
          <w:sz w:val="32"/>
          <w:szCs w:val="32"/>
          <w:lang w:eastAsia="zh-CN"/>
        </w:rPr>
        <w:t>单位</w:t>
      </w:r>
      <w:r>
        <w:rPr>
          <w:rFonts w:hint="eastAsia" w:ascii="仿宋_GB2312" w:hAnsi="宋体" w:eastAsia="仿宋_GB2312" w:cs="Times New Roman"/>
          <w:color w:val="000000"/>
          <w:kern w:val="0"/>
          <w:sz w:val="32"/>
          <w:szCs w:val="32"/>
        </w:rPr>
        <w:t>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w:t>
      </w:r>
      <w:r>
        <w:rPr>
          <w:rFonts w:hint="eastAsia" w:ascii="仿宋_GB2312" w:hAnsi="宋体" w:eastAsia="仿宋_GB2312" w:cs="Times New Roman"/>
          <w:color w:val="000000"/>
          <w:kern w:val="0"/>
          <w:sz w:val="32"/>
          <w:szCs w:val="32"/>
          <w:lang w:eastAsia="zh-CN"/>
        </w:rPr>
        <w:t>单位</w:t>
      </w:r>
      <w:r>
        <w:rPr>
          <w:rFonts w:hint="eastAsia" w:ascii="仿宋_GB2312" w:hAnsi="宋体" w:eastAsia="仿宋_GB2312" w:cs="Times New Roman"/>
          <w:color w:val="000000"/>
          <w:kern w:val="0"/>
          <w:sz w:val="32"/>
          <w:szCs w:val="32"/>
        </w:rPr>
        <w:t>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w:t>
      </w:r>
      <w:r>
        <w:rPr>
          <w:rFonts w:hint="eastAsia" w:ascii="仿宋_GB2312" w:hAnsi="宋体" w:eastAsia="仿宋_GB2312" w:cs="Times New Roman"/>
          <w:color w:val="000000"/>
          <w:kern w:val="0"/>
          <w:sz w:val="32"/>
          <w:szCs w:val="32"/>
          <w:lang w:eastAsia="zh-CN"/>
        </w:rPr>
        <w:t>单位</w:t>
      </w:r>
      <w:r>
        <w:rPr>
          <w:rFonts w:hint="eastAsia" w:ascii="仿宋_GB2312" w:hAnsi="宋体" w:eastAsia="仿宋_GB2312" w:cs="Times New Roman"/>
          <w:color w:val="000000"/>
          <w:kern w:val="0"/>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思源黑体 CN Heavy">
    <w:altName w:val="宋体"/>
    <w:panose1 w:val="00000000000000000000"/>
    <w:charset w:val="86"/>
    <w:family w:val="auto"/>
    <w:pitch w:val="default"/>
    <w:sig w:usb0="00000000" w:usb1="00000000" w:usb2="00000016" w:usb3="00000000" w:csb0="00060107" w:csb1="00000000"/>
  </w:font>
  <w:font w:name="思源黑体 CN Bold">
    <w:altName w:val="宋体"/>
    <w:panose1 w:val="00000000000000000000"/>
    <w:charset w:val="86"/>
    <w:family w:val="auto"/>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ED38EE"/>
    <w:multiLevelType w:val="singleLevel"/>
    <w:tmpl w:val="DEED38EE"/>
    <w:lvl w:ilvl="0" w:tentative="0">
      <w:start w:val="3"/>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3">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4">
    <w:nsid w:val="5F222FFA"/>
    <w:multiLevelType w:val="singleLevel"/>
    <w:tmpl w:val="5F222FFA"/>
    <w:lvl w:ilvl="0" w:tentative="0">
      <w:start w:val="1"/>
      <w:numFmt w:val="decimal"/>
      <w:suff w:val="nothing"/>
      <w:lvlText w:val="（%1）"/>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TAsImhkaWQiOiI1OWY0ZDE2OTM0YTlmOWUzMzlmYTljMzI0MDk5NGRhOCIsInVzZXJDb3VudCI6MX0="/>
  </w:docVars>
  <w:rsids>
    <w:rsidRoot w:val="004F020F"/>
    <w:rsid w:val="002361D7"/>
    <w:rsid w:val="004F020F"/>
    <w:rsid w:val="00E80FB5"/>
    <w:rsid w:val="058A37D2"/>
    <w:rsid w:val="0F195CD1"/>
    <w:rsid w:val="1F1A1411"/>
    <w:rsid w:val="29651089"/>
    <w:rsid w:val="33DA6921"/>
    <w:rsid w:val="37F74DA5"/>
    <w:rsid w:val="386F00E8"/>
    <w:rsid w:val="4681203E"/>
    <w:rsid w:val="4BBA7EF0"/>
    <w:rsid w:val="57232A02"/>
    <w:rsid w:val="57F62A38"/>
    <w:rsid w:val="58103AC5"/>
    <w:rsid w:val="631B41DE"/>
    <w:rsid w:val="7284066B"/>
    <w:rsid w:val="72957962"/>
    <w:rsid w:val="73AD7321"/>
    <w:rsid w:val="78B75E9C"/>
    <w:rsid w:val="7C8F1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unhideWhenUsed/>
    <w:qFormat/>
    <w:uiPriority w:val="99"/>
    <w:rPr>
      <w:sz w:val="18"/>
      <w:szCs w:val="18"/>
    </w:rPr>
  </w:style>
  <w:style w:type="paragraph" w:styleId="4">
    <w:name w:val="footer"/>
    <w:basedOn w:val="1"/>
    <w:link w:val="8"/>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character" w:customStyle="1" w:styleId="8">
    <w:name w:val="页脚 Char"/>
    <w:basedOn w:val="7"/>
    <w:link w:val="4"/>
    <w:qFormat/>
    <w:uiPriority w:val="0"/>
    <w:rPr>
      <w:kern w:val="2"/>
      <w:sz w:val="18"/>
      <w:szCs w:val="18"/>
    </w:rPr>
  </w:style>
  <w:style w:type="character" w:customStyle="1" w:styleId="9">
    <w:name w:val="页眉 Char"/>
    <w:basedOn w:val="7"/>
    <w:link w:val="5"/>
    <w:qFormat/>
    <w:uiPriority w:val="0"/>
    <w:rPr>
      <w:kern w:val="2"/>
      <w:sz w:val="18"/>
      <w:szCs w:val="18"/>
    </w:rPr>
  </w:style>
  <w:style w:type="character" w:customStyle="1" w:styleId="10">
    <w:name w:val="font11"/>
    <w:basedOn w:val="7"/>
    <w:qFormat/>
    <w:uiPriority w:val="0"/>
    <w:rPr>
      <w:rFonts w:hint="eastAsia" w:ascii="宋体" w:hAnsi="宋体" w:eastAsia="宋体" w:cs="宋体"/>
      <w:color w:val="000000"/>
      <w:sz w:val="20"/>
      <w:szCs w:val="20"/>
      <w:u w:val="none"/>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font41"/>
    <w:basedOn w:val="7"/>
    <w:qFormat/>
    <w:uiPriority w:val="0"/>
    <w:rPr>
      <w:rFonts w:hint="eastAsia" w:ascii="宋体" w:hAnsi="宋体" w:eastAsia="宋体" w:cs="宋体"/>
      <w:color w:val="000000"/>
      <w:sz w:val="24"/>
      <w:szCs w:val="24"/>
      <w:u w:val="none"/>
    </w:rPr>
  </w:style>
  <w:style w:type="character" w:customStyle="1" w:styleId="13">
    <w:name w:val="font31"/>
    <w:basedOn w:val="7"/>
    <w:qFormat/>
    <w:uiPriority w:val="0"/>
    <w:rPr>
      <w:rFonts w:hint="eastAsia" w:ascii="华文中宋" w:hAnsi="华文中宋" w:eastAsia="华文中宋" w:cs="华文中宋"/>
      <w:color w:val="000000"/>
      <w:sz w:val="32"/>
      <w:szCs w:val="32"/>
      <w:u w:val="none"/>
    </w:rPr>
  </w:style>
  <w:style w:type="character" w:customStyle="1" w:styleId="14">
    <w:name w:val="font91"/>
    <w:basedOn w:val="7"/>
    <w:qFormat/>
    <w:uiPriority w:val="0"/>
    <w:rPr>
      <w:rFonts w:hint="eastAsia" w:ascii="华文中宋" w:hAnsi="华文中宋" w:eastAsia="华文中宋" w:cs="华文中宋"/>
      <w:color w:val="000000"/>
      <w:sz w:val="32"/>
      <w:szCs w:val="32"/>
      <w:u w:val="none"/>
    </w:rPr>
  </w:style>
  <w:style w:type="character" w:customStyle="1" w:styleId="15">
    <w:name w:val="font51"/>
    <w:basedOn w:val="7"/>
    <w:qFormat/>
    <w:uiPriority w:val="0"/>
    <w:rPr>
      <w:rFonts w:hint="eastAsia" w:ascii="宋体" w:hAnsi="宋体" w:eastAsia="宋体" w:cs="宋体"/>
      <w:color w:val="000000"/>
      <w:sz w:val="24"/>
      <w:szCs w:val="24"/>
      <w:u w:val="none"/>
    </w:rPr>
  </w:style>
  <w:style w:type="character" w:customStyle="1" w:styleId="16">
    <w:name w:val="批注框文本 Char"/>
    <w:basedOn w:val="7"/>
    <w:link w:val="3"/>
    <w:qFormat/>
    <w:uiPriority w:val="99"/>
    <w:rPr>
      <w:kern w:val="2"/>
      <w:sz w:val="18"/>
      <w:szCs w:val="18"/>
    </w:rPr>
  </w:style>
  <w:style w:type="character" w:customStyle="1" w:styleId="17">
    <w:name w:val="font61"/>
    <w:basedOn w:val="7"/>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综合收支对比图</a:t>
            </a:r>
          </a:p>
        </c:rich>
      </c:tx>
      <c:layout/>
      <c:overlay val="0"/>
      <c:spPr>
        <a:noFill/>
        <a:ln>
          <a:noFill/>
        </a:ln>
        <a:effectLst/>
      </c:spPr>
    </c:title>
    <c:autoTitleDeleted val="0"/>
    <c:plotArea>
      <c:layout>
        <c:manualLayout>
          <c:layoutTarget val="inner"/>
          <c:xMode val="edge"/>
          <c:yMode val="edge"/>
          <c:x val="0.0804058951437545"/>
          <c:y val="0.167020824479388"/>
          <c:w val="0.89736651365064"/>
          <c:h val="0.684955376115597"/>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691.96</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2163.97</c:v>
                </c:pt>
              </c:numCache>
            </c:numRef>
          </c:val>
        </c:ser>
        <c:dLbls>
          <c:showLegendKey val="0"/>
          <c:showVal val="0"/>
          <c:showCatName val="0"/>
          <c:showSerName val="0"/>
          <c:showPercent val="0"/>
          <c:showBubbleSize val="0"/>
        </c:dLbls>
        <c:gapWidth val="246"/>
        <c:overlap val="-28"/>
        <c:axId val="478631560"/>
        <c:axId val="61995062"/>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numRef>
                    <c:extLst>
                      <c:ext uri="{02D57815-91ED-43cb-92C2-25804820EDAC}">
                        <c15:fullRef>
                          <c15:sqref/>
                        </c15:fullRef>
                        <c15:formulaRef>
                          <c15:sqref>Sheet1!$A$2</c15:sqref>
                        </c15:formulaRef>
                      </c:ext>
                    </c:extLst>
                    <c:numCache>
                      <c:formatCode>General</c:formatCode>
                      <c:ptCount val="1"/>
                    </c:numCache>
                  </c:num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4786315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995062"/>
        <c:crosses val="autoZero"/>
        <c:auto val="1"/>
        <c:lblAlgn val="ctr"/>
        <c:lblOffset val="100"/>
        <c:noMultiLvlLbl val="0"/>
      </c:catAx>
      <c:valAx>
        <c:axId val="61995062"/>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86315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4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支出决算图</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manualLayout>
                  <c:x val="-0.0584527344555954"/>
                  <c:y val="0.15487984378062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09189654095891"/>
                  <c:y val="-0.1548798284556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c:formatCode>
                <c:ptCount val="2"/>
                <c:pt idx="0">
                  <c:v>0.18</c:v>
                </c:pt>
                <c:pt idx="1">
                  <c:v>0.82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财政拨款收支预决算对比情况</a:t>
            </a:r>
          </a:p>
        </c:rich>
      </c:tx>
      <c:layout>
        <c:manualLayout>
          <c:xMode val="edge"/>
          <c:yMode val="edge"/>
          <c:x val="0.304421357815898"/>
          <c:y val="0.0229494262643434"/>
        </c:manualLayout>
      </c:layout>
      <c:overlay val="0"/>
      <c:spPr>
        <a:noFill/>
        <a:ln>
          <a:noFill/>
        </a:ln>
        <a:effectLst/>
      </c:spPr>
    </c:title>
    <c:autoTitleDeleted val="0"/>
    <c:plotArea>
      <c:layout>
        <c:manualLayout>
          <c:layoutTarget val="inner"/>
          <c:xMode val="edge"/>
          <c:yMode val="edge"/>
          <c:x val="0.0775066441169365"/>
          <c:y val="0.172120696982575"/>
          <c:w val="0.89736651365064"/>
          <c:h val="0.638631534211645"/>
        </c:manualLayout>
      </c:layout>
      <c:barChart>
        <c:barDir val="col"/>
        <c:grouping val="clustered"/>
        <c:varyColors val="0"/>
        <c:ser>
          <c:idx val="0"/>
          <c:order val="0"/>
          <c:tx>
            <c:strRef>
              <c:f>Sheet1!$B$1</c:f>
              <c:strCache>
                <c:ptCount val="1"/>
                <c:pt idx="0">
                  <c:v>一般公共预算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2021年收入</c:v>
                </c:pt>
                <c:pt idx="1">
                  <c:v>2021年支出</c:v>
                </c:pt>
                <c:pt idx="2">
                  <c:v>2022年收入</c:v>
                </c:pt>
                <c:pt idx="3">
                  <c:v>2022年支出</c:v>
                </c:pt>
              </c:strCache>
            </c:strRef>
          </c:cat>
          <c:val>
            <c:numRef>
              <c:f>Sheet1!$B$2:$B$5</c:f>
              <c:numCache>
                <c:formatCode>General</c:formatCode>
                <c:ptCount val="4"/>
                <c:pt idx="0">
                  <c:v>691.96</c:v>
                </c:pt>
                <c:pt idx="1">
                  <c:v>691.96</c:v>
                </c:pt>
                <c:pt idx="2">
                  <c:v>2165.2</c:v>
                </c:pt>
                <c:pt idx="3">
                  <c:v>2163.97</c:v>
                </c:pt>
              </c:numCache>
            </c:numRef>
          </c:val>
        </c:ser>
        <c:ser>
          <c:idx val="1"/>
          <c:order val="1"/>
          <c:tx>
            <c:strRef>
              <c:f>Sheet1!$C$1</c:f>
              <c:strCache>
                <c:ptCount val="1"/>
                <c:pt idx="0">
                  <c:v>政府性基金预算</c:v>
                </c:pt>
              </c:strCache>
            </c:strRef>
          </c:tx>
          <c:spPr>
            <a:solidFill>
              <a:schemeClr val="accent2"/>
            </a:solidFill>
            <a:ln>
              <a:noFill/>
            </a:ln>
            <a:effectLst/>
          </c:spPr>
          <c:invertIfNegative val="0"/>
          <c:dLbls>
            <c:delete val="1"/>
          </c:dLbls>
          <c:cat>
            <c:strRef>
              <c:f>Sheet1!$A$2:$A$5</c:f>
              <c:strCache>
                <c:ptCount val="4"/>
                <c:pt idx="0">
                  <c:v>2021年收入</c:v>
                </c:pt>
                <c:pt idx="1">
                  <c:v>2021年支出</c:v>
                </c:pt>
                <c:pt idx="2">
                  <c:v>2022年收入</c:v>
                </c:pt>
                <c:pt idx="3">
                  <c:v>2022年支出</c:v>
                </c:pt>
              </c:strCache>
            </c:strRef>
          </c:cat>
          <c:val>
            <c:numRef>
              <c:f>Sheet1!$C$2:$C$5</c:f>
              <c:numCache>
                <c:formatCode>General</c:formatCode>
                <c:ptCount val="4"/>
                <c:pt idx="0">
                  <c:v>0</c:v>
                </c:pt>
                <c:pt idx="1">
                  <c:v>0</c:v>
                </c:pt>
                <c:pt idx="2">
                  <c:v>0</c:v>
                </c:pt>
                <c:pt idx="3">
                  <c:v>0</c:v>
                </c:pt>
              </c:numCache>
            </c:numRef>
          </c:val>
        </c:ser>
        <c:ser>
          <c:idx val="3"/>
          <c:order val="2"/>
          <c:tx>
            <c:strRef>
              <c:f>Sheet1!$D$1</c:f>
              <c:strCache>
                <c:ptCount val="1"/>
                <c:pt idx="0">
                  <c:v>国有资本经营预算</c:v>
                </c:pt>
              </c:strCache>
            </c:strRef>
          </c:tx>
          <c:spPr>
            <a:solidFill>
              <a:schemeClr val="accent4"/>
            </a:solidFill>
            <a:ln>
              <a:noFill/>
            </a:ln>
            <a:effectLst/>
          </c:spPr>
          <c:invertIfNegative val="0"/>
          <c:dLbls>
            <c:delete val="1"/>
          </c:dLbls>
          <c:cat>
            <c:strRef>
              <c:f>Sheet1!$A$2:$A$5</c:f>
              <c:strCache>
                <c:ptCount val="4"/>
                <c:pt idx="0">
                  <c:v>2021年收入</c:v>
                </c:pt>
                <c:pt idx="1">
                  <c:v>2021年支出</c:v>
                </c:pt>
                <c:pt idx="2">
                  <c:v>2022年收入</c:v>
                </c:pt>
                <c:pt idx="3">
                  <c:v>2022年支出</c:v>
                </c:pt>
              </c:strCache>
            </c:strRef>
          </c:cat>
          <c:val>
            <c:numRef>
              <c:f>Sheet1!$D$2:$D$5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246"/>
        <c:overlap val="-28"/>
        <c:axId val="238831775"/>
        <c:axId val="441691607"/>
      </c:barChart>
      <c:catAx>
        <c:axId val="23883177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1691607"/>
        <c:crosses val="autoZero"/>
        <c:auto val="1"/>
        <c:lblAlgn val="ctr"/>
        <c:lblOffset val="100"/>
        <c:noMultiLvlLbl val="0"/>
      </c:catAx>
      <c:valAx>
        <c:axId val="441691607"/>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883177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财政拨款收支预决算对比情况</a:t>
            </a:r>
          </a:p>
          <a:p>
            <a:pPr defTabSz="914400">
              <a:defRPr lang="zh-CN" sz="1400" b="1" i="0" u="none" strike="noStrike" kern="1200" baseline="0">
                <a:solidFill>
                  <a:schemeClr val="dk1">
                    <a:lumMod val="75000"/>
                    <a:lumOff val="25000"/>
                  </a:schemeClr>
                </a:solidFill>
                <a:latin typeface="+mn-lt"/>
                <a:ea typeface="+mn-ea"/>
                <a:cs typeface="+mn-cs"/>
              </a:defRPr>
            </a:pPr>
            <a:endParaRPr lang="en-US"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c:v>
                </c:pt>
              </c:strCache>
            </c:strRef>
          </c:tx>
          <c:spPr>
            <a:solidFill>
              <a:schemeClr val="accent1"/>
            </a:solidFill>
            <a:ln>
              <a:noFill/>
            </a:ln>
            <a:effectLst/>
          </c:spPr>
          <c:invertIfNegative val="0"/>
          <c:dLbls>
            <c:delete val="1"/>
          </c:dLbls>
          <c:cat>
            <c:strRef>
              <c:f>Sheet1!$A$2:$A$5</c:f>
              <c:strCache>
                <c:ptCount val="4"/>
                <c:pt idx="0">
                  <c:v>2021年收入预算数</c:v>
                </c:pt>
                <c:pt idx="1">
                  <c:v>2021年支出决算数</c:v>
                </c:pt>
                <c:pt idx="2">
                  <c:v>2021年收入预算数</c:v>
                </c:pt>
                <c:pt idx="3">
                  <c:v>2021年支出决算数</c:v>
                </c:pt>
              </c:strCache>
            </c:strRef>
          </c:cat>
          <c:val>
            <c:numRef>
              <c:f>Sheet1!$B$2:$B$5</c:f>
              <c:numCache>
                <c:formatCode>General</c:formatCode>
                <c:ptCount val="4"/>
                <c:pt idx="0">
                  <c:v>691.69</c:v>
                </c:pt>
                <c:pt idx="1">
                  <c:v>691.69</c:v>
                </c:pt>
                <c:pt idx="2">
                  <c:v>2165.2</c:v>
                </c:pt>
                <c:pt idx="3">
                  <c:v>2163.97</c:v>
                </c:pt>
              </c:numCache>
            </c:numRef>
          </c:val>
        </c:ser>
        <c:ser>
          <c:idx val="1"/>
          <c:order val="1"/>
          <c:tx>
            <c:strRef>
              <c:f>Sheet1!$C$1</c:f>
              <c:strCache>
                <c:ptCount val="1"/>
                <c:pt idx="0">
                  <c:v>政府性基金预算</c:v>
                </c:pt>
              </c:strCache>
            </c:strRef>
          </c:tx>
          <c:spPr>
            <a:solidFill>
              <a:schemeClr val="accent2"/>
            </a:solidFill>
            <a:ln>
              <a:noFill/>
            </a:ln>
            <a:effectLst/>
          </c:spPr>
          <c:invertIfNegative val="0"/>
          <c:dLbls>
            <c:delete val="1"/>
          </c:dLbls>
          <c:cat>
            <c:strRef>
              <c:f>Sheet1!$A$2:$A$5</c:f>
              <c:strCache>
                <c:ptCount val="4"/>
                <c:pt idx="0">
                  <c:v>2021年收入预算数</c:v>
                </c:pt>
                <c:pt idx="1">
                  <c:v>2021年支出决算数</c:v>
                </c:pt>
                <c:pt idx="2">
                  <c:v>2021年收入预算数</c:v>
                </c:pt>
                <c:pt idx="3">
                  <c:v>2021年支出决算数</c:v>
                </c:pt>
              </c:strCache>
            </c:strRef>
          </c:cat>
          <c:val>
            <c:numRef>
              <c:f>Sheet1!$C$2:$C$5</c:f>
              <c:numCache>
                <c:formatCode>General</c:formatCode>
                <c:ptCount val="4"/>
                <c:pt idx="0">
                  <c:v>0</c:v>
                </c:pt>
                <c:pt idx="1">
                  <c:v>0</c:v>
                </c:pt>
                <c:pt idx="2">
                  <c:v>0</c:v>
                </c:pt>
                <c:pt idx="3">
                  <c:v>0</c:v>
                </c:pt>
              </c:numCache>
            </c:numRef>
          </c:val>
        </c:ser>
        <c:ser>
          <c:idx val="2"/>
          <c:order val="2"/>
          <c:tx>
            <c:strRef>
              <c:f>Sheet1!$D$1</c:f>
              <c:strCache>
                <c:ptCount val="1"/>
                <c:pt idx="0">
                  <c:v>国有资本经营预算</c:v>
                </c:pt>
              </c:strCache>
            </c:strRef>
          </c:tx>
          <c:spPr>
            <a:solidFill>
              <a:schemeClr val="accent3"/>
            </a:solidFill>
            <a:ln>
              <a:noFill/>
            </a:ln>
            <a:effectLst/>
          </c:spPr>
          <c:invertIfNegative val="0"/>
          <c:dLbls>
            <c:delete val="1"/>
          </c:dLbls>
          <c:cat>
            <c:strRef>
              <c:f>Sheet1!$A$2:$A$5</c:f>
              <c:strCache>
                <c:ptCount val="4"/>
                <c:pt idx="0">
                  <c:v>2021年收入预算数</c:v>
                </c:pt>
                <c:pt idx="1">
                  <c:v>2021年支出决算数</c:v>
                </c:pt>
                <c:pt idx="2">
                  <c:v>2021年收入预算数</c:v>
                </c:pt>
                <c:pt idx="3">
                  <c:v>2021年支出决算数</c:v>
                </c:pt>
              </c:strCache>
            </c:strRef>
          </c:cat>
          <c:val>
            <c:numRef>
              <c:f>Sheet1!$D$2:$D$5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246"/>
        <c:overlap val="-28"/>
        <c:axId val="664682463"/>
        <c:axId val="544212846"/>
      </c:barChart>
      <c:catAx>
        <c:axId val="6646824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4212846"/>
        <c:crosses val="autoZero"/>
        <c:auto val="1"/>
        <c:lblAlgn val="ctr"/>
        <c:lblOffset val="100"/>
        <c:noMultiLvlLbl val="0"/>
      </c:catAx>
      <c:valAx>
        <c:axId val="54421284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46824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36</Pages>
  <Words>1958</Words>
  <Characters>11167</Characters>
  <Lines>93</Lines>
  <Paragraphs>26</Paragraphs>
  <TotalTime>44</TotalTime>
  <ScaleCrop>false</ScaleCrop>
  <LinksUpToDate>false</LinksUpToDate>
  <CharactersWithSpaces>13099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2023-11-08T08:01:00Z</dcterms:created>
  <dc:creator>王明新TIAD</dc:creator>
  <cp:lastModifiedBy>Administrator</cp:lastModifiedBy>
  <cp:lastPrinted>2023-08-04T01:00:00Z</cp:lastPrinted>
  <dcterms:modified xsi:type="dcterms:W3CDTF">2023-11-15T07:46:37Z</dcterms:modified>
  <dc:title>1_x000f_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TemplateUUID">
    <vt:lpwstr>v1.0_mb_S7ajbG3IpAnL1wSthNCxfw==</vt:lpwstr>
  </property>
  <property fmtid="{D5CDD505-2E9C-101B-9397-08002B2CF9AE}" pid="4" name="ICV">
    <vt:lpwstr>2F18119EE7C14A43AA832E04EFB5F6B5_13</vt:lpwstr>
  </property>
</Properties>
</file>